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C3BC7" w14:textId="77777777" w:rsidR="00807FA9" w:rsidRDefault="00807FA9" w:rsidP="00E623C8">
      <w:pPr>
        <w:autoSpaceDE w:val="0"/>
        <w:autoSpaceDN w:val="0"/>
        <w:adjustRightInd w:val="0"/>
        <w:spacing w:after="0" w:line="240" w:lineRule="auto"/>
      </w:pPr>
    </w:p>
    <w:p w14:paraId="550C3BC8" w14:textId="77777777" w:rsidR="00807FA9" w:rsidRPr="00807FA9" w:rsidRDefault="00807FA9" w:rsidP="00E623C8">
      <w:pPr>
        <w:autoSpaceDE w:val="0"/>
        <w:autoSpaceDN w:val="0"/>
        <w:adjustRightInd w:val="0"/>
        <w:spacing w:after="0" w:line="240" w:lineRule="auto"/>
        <w:rPr>
          <w:b/>
        </w:rPr>
      </w:pPr>
      <w:r w:rsidRPr="00807FA9">
        <w:rPr>
          <w:b/>
        </w:rPr>
        <w:t>Description:</w:t>
      </w:r>
    </w:p>
    <w:p w14:paraId="5813AA4D" w14:textId="7002ECEB" w:rsidR="00826D4D" w:rsidRDefault="00826D4D" w:rsidP="00E623C8">
      <w:pPr>
        <w:autoSpaceDE w:val="0"/>
        <w:autoSpaceDN w:val="0"/>
        <w:adjustRightInd w:val="0"/>
        <w:spacing w:after="0" w:line="240" w:lineRule="auto"/>
      </w:pPr>
      <w:r>
        <w:t xml:space="preserve">The Traumatic Injuries Distress Scale is a 12-item questionnaire designed to measure 3 different domains of trauma-related distress following musculoskeletal injuries.  It has been designed for use in the acute (&lt;4 weeks) stage of injury, and will provide information on the </w:t>
      </w:r>
      <w:r w:rsidRPr="00826D4D">
        <w:rPr>
          <w:i/>
        </w:rPr>
        <w:t>magnitude</w:t>
      </w:r>
      <w:r>
        <w:t xml:space="preserve"> and </w:t>
      </w:r>
      <w:r w:rsidRPr="00826D4D">
        <w:rPr>
          <w:i/>
        </w:rPr>
        <w:t>nature</w:t>
      </w:r>
      <w:r>
        <w:t xml:space="preserve"> of risk of persistent or chronic problems based on psychological or cognitive factors.</w:t>
      </w:r>
      <w:r w:rsidR="008C6E7B">
        <w:fldChar w:fldCharType="begin" w:fldLock="1"/>
      </w:r>
      <w:r w:rsidR="008C6E7B">
        <w:instrText>ADDIN CSL_CITATION { "citationItems" : [ { "id" : "ITEM-1", "itemData" : { "author" : [ { "dropping-particle" : "", "family" : "Walton", "given" : "David M", "non-dropping-particle" : "", "parse-names" : false, "suffix" : "" }, { "dropping-particle" : "", "family" : "Krebs", "given" : "Dan", "non-dropping-particle" : "", "parse-names" : false, "suffix" : "" }, { "dropping-particle" : "", "family" : "Moulden", "given" : "Dianna", "non-dropping-particle" : "", "parse-names" : false, "suffix" : "" }, { "dropping-particle" : "", "family" : "Wade", "given" : "Peter", "non-dropping-particle" : "", "parse-names" : false, "suffix" : "" }, { "dropping-particle" : "", "family" : "Elliott", "given" : "James", "non-dropping-particle" : "", "parse-names" : false, "suffix" : "" }, { "dropping-particle" : "", "family" : "MacDermid", "given" : "Joy C", "non-dropping-particle" : "", "parse-names" : false, "suffix" : "" } ], "container-title" : "Journal of Orthopedic and Sports Physical Therapy", "id" : "ITEM-1", "issued" : { "date-parts" : [ [ "2016" ] ] }, "title" : "The Traumatic Injuries Distress Scale: A new tool that quantifies distress and has predictive validity with patient-reported outcomes", "type" : "article-journal", "volume" : "epub ahead" }, "uris" : [ "http://www.mendeley.com/documents/?uuid=b2139302-a5b5-409a-940d-00a8973ef46a" ] } ], "mendeley" : { "formattedCitation" : "&lt;sup&gt;2&lt;/sup&gt;", "plainTextFormattedCitation" : "2", "previouslyFormattedCitation" : "&lt;sup&gt;2&lt;/sup&gt;" }, "properties" : { "noteIndex" : 0 }, "schema" : "https://github.com/citation-style-language/schema/raw/master/csl-citation.json" }</w:instrText>
      </w:r>
      <w:r w:rsidR="008C6E7B">
        <w:fldChar w:fldCharType="separate"/>
      </w:r>
      <w:r w:rsidR="008C6E7B" w:rsidRPr="008C6E7B">
        <w:rPr>
          <w:noProof/>
          <w:vertAlign w:val="superscript"/>
        </w:rPr>
        <w:t>2</w:t>
      </w:r>
      <w:r w:rsidR="008C6E7B">
        <w:fldChar w:fldCharType="end"/>
      </w:r>
      <w:r>
        <w:t xml:space="preserve">  Exaggerated post-traumatic distress has consistently demonstrated prognostic associations with chronic problems</w:t>
      </w:r>
      <w:r w:rsidR="008C6E7B">
        <w:fldChar w:fldCharType="begin" w:fldLock="1"/>
      </w:r>
      <w:r w:rsidR="008C6E7B">
        <w:instrText>ADDIN CSL_CITATION { "citationItems" : [ { "id" : "ITEM-1", "itemData" : { "author" : [ { "dropping-particle" : "", "family" : "Walton", "given" : "D M", "non-dropping-particle" : "", "parse-names" : false, "suffix" : "" }, { "dropping-particle" : "", "family" : "Caroll", "given" : "L J", "non-dropping-particle" : "", "parse-names" : false, "suffix" : "" }, { "dropping-particle" : "", "family" : "Kasch", "given" : "H", "non-dropping-particle" : "", "parse-names" : false, "suffix" : "" }, { "dropping-particle" : "", "family" : "Sterling", "given" : "M", "non-dropping-particle" : "", "parse-names" : false, "suffix" : "" }, { "dropping-particle" : "", "family" : "Verhagen", "given" : "A P", "non-dropping-particle" : "", "parse-names" : false, "suffix" : "" }, { "dropping-particle" : "", "family" : "MacDermid", "given" : "J C", "non-dropping-particle" : "", "parse-names" : false, "suffix" : "" }, { "dropping-particle" : "", "family" : "Gross", "given" : "A", "non-dropping-particle" : "", "parse-names" : false, "suffix" : "" }, { "dropping-particle" : "", "family" : "Santaguida", "given" : "P L", "non-dropping-particle" : "", "parse-names" : false, "suffix" : "" }, { "dropping-particle" : "", "family" : "Carlesso", "given" : "L", "non-dropping-particle" : "", "parse-names" : false, "suffix" : "" }, { "dropping-particle" : "", "family" : "ICON", "given" : "", "non-dropping-particle" : "", "parse-names" : false, "suffix" : "" } ], "container-title" : "The Open Orthopedics Journal", "id" : "ITEM-1", "issue" : "Suppl 4", "issued" : { "date-parts" : [ [ "2013" ] ] }, "page" : "M9", "title" : "An overview of systematic reviews on prognostic factors in neck pain: results from the international collaboration on neck pain (ICON) project", "type" : "article-journal", "volume" : "7" }, "uris" : [ "http://www.mendeley.com/documents/?uuid=b2ef540d-62de-4f1e-a509-6eb54173c394" ] } ], "mendeley" : { "formattedCitation" : "&lt;sup&gt;1&lt;/sup&gt;", "plainTextFormattedCitation" : "1", "previouslyFormattedCitation" : "&lt;sup&gt;1&lt;/sup&gt;" }, "properties" : { "noteIndex" : 0 }, "schema" : "https://github.com/citation-style-language/schema/raw/master/csl-citation.json" }</w:instrText>
      </w:r>
      <w:r w:rsidR="008C6E7B">
        <w:fldChar w:fldCharType="separate"/>
      </w:r>
      <w:r w:rsidR="008C6E7B" w:rsidRPr="008C6E7B">
        <w:rPr>
          <w:noProof/>
          <w:vertAlign w:val="superscript"/>
        </w:rPr>
        <w:t>1</w:t>
      </w:r>
      <w:r w:rsidR="008C6E7B">
        <w:fldChar w:fldCharType="end"/>
      </w:r>
      <w:r>
        <w:t>, but most tools have been designed for use in chronic problems.  The TIDS is the first designed from the ground up for use in acute, non-catastrophic musculoskeletal injuries.</w:t>
      </w:r>
    </w:p>
    <w:p w14:paraId="550C3BCA" w14:textId="77777777" w:rsidR="00C936C3" w:rsidRPr="00807FA9" w:rsidRDefault="00C936C3" w:rsidP="00E623C8">
      <w:pPr>
        <w:autoSpaceDE w:val="0"/>
        <w:autoSpaceDN w:val="0"/>
        <w:adjustRightInd w:val="0"/>
        <w:spacing w:after="0" w:line="240" w:lineRule="auto"/>
      </w:pPr>
    </w:p>
    <w:p w14:paraId="550C3BCD" w14:textId="77777777" w:rsidR="00807FA9" w:rsidRDefault="00C936C3" w:rsidP="00C936C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807FA9">
        <w:rPr>
          <w:rFonts w:cs="Calibri-Bold"/>
          <w:b/>
          <w:bCs/>
        </w:rPr>
        <w:t xml:space="preserve">What is reported: </w:t>
      </w:r>
    </w:p>
    <w:p w14:paraId="550C3BCE" w14:textId="396A04AB" w:rsidR="00C936C3" w:rsidRPr="00807FA9" w:rsidRDefault="00826D4D" w:rsidP="00C936C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The total TIDS score is reported in addition to scores on each of the 3 subscales: Negative Affect (6 items</w:t>
      </w:r>
      <w:r w:rsidR="00AD2FFD">
        <w:rPr>
          <w:rFonts w:cs="Calibri"/>
        </w:rPr>
        <w:t xml:space="preserve"> score range 0-12</w:t>
      </w:r>
      <w:r>
        <w:rPr>
          <w:rFonts w:cs="Calibri"/>
        </w:rPr>
        <w:t>, especially useful for predicting depression or disability), Uncontrolled Pain (4 items</w:t>
      </w:r>
      <w:r w:rsidR="00AD2FFD">
        <w:rPr>
          <w:rFonts w:cs="Calibri"/>
        </w:rPr>
        <w:t xml:space="preserve"> score range 0-8</w:t>
      </w:r>
      <w:r>
        <w:rPr>
          <w:rFonts w:cs="Calibri"/>
        </w:rPr>
        <w:t>, especially useful for predicting pain or disability) and Intrusion/Hyperarousal (2 items</w:t>
      </w:r>
      <w:r w:rsidR="00AD2FFD">
        <w:rPr>
          <w:rFonts w:cs="Calibri"/>
        </w:rPr>
        <w:t xml:space="preserve"> score range 0-4</w:t>
      </w:r>
      <w:r>
        <w:rPr>
          <w:rFonts w:cs="Calibri"/>
        </w:rPr>
        <w:t xml:space="preserve">, especially useful for predicting anxiety or PTSD).  The score for each subscale is the sum of the responses to the applicable questions.  </w:t>
      </w:r>
      <w:r w:rsidR="00DA126D">
        <w:rPr>
          <w:rFonts w:cs="Calibri"/>
        </w:rPr>
        <w:t>As data are collected and analyzed, clinically useful cut-scores will be derived for each subscale allowing classification of patients into low/moderate/high risk categories for each risk factor.  In this way, the TIDS will address not only the common question of ‘is this patient at risk of a chronic problem?’ but crucially will also provide ‘Why are they at risk?’ and ‘At risk of what?’ thus providing firmer guidance for clinical decisions.</w:t>
      </w:r>
    </w:p>
    <w:p w14:paraId="550C3BCF" w14:textId="77777777" w:rsidR="00C936C3" w:rsidRPr="00807FA9" w:rsidRDefault="00C936C3" w:rsidP="00C936C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50C3BD0" w14:textId="77777777" w:rsidR="00C936C3" w:rsidRPr="00807FA9" w:rsidRDefault="00C936C3" w:rsidP="00C936C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807FA9">
        <w:rPr>
          <w:rFonts w:cs="Calibri"/>
          <w:b/>
        </w:rPr>
        <w:t>Scaling and Scoring:</w:t>
      </w:r>
      <w:r w:rsidR="00807FA9" w:rsidRPr="00807FA9">
        <w:rPr>
          <w:rFonts w:cs="Calibri"/>
          <w:b/>
        </w:rPr>
        <w:t xml:space="preserve"> </w:t>
      </w:r>
    </w:p>
    <w:p w14:paraId="6CFFEF15" w14:textId="5C99AD2A" w:rsidR="00826D4D" w:rsidRDefault="00826D4D" w:rsidP="00C936C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Each item is scaled using frequency-based response options: Never (0), Occasionally (1), Often/All the Time (2).</w:t>
      </w:r>
      <w:r w:rsidR="00AD2FFD">
        <w:rPr>
          <w:rFonts w:cs="Calibri"/>
        </w:rPr>
        <w:t xml:space="preserve"> Respondents should be encouraged to reply to all of the 12 questions.</w:t>
      </w:r>
    </w:p>
    <w:p w14:paraId="550C3BD4" w14:textId="77777777" w:rsidR="00C936C3" w:rsidRPr="00807FA9" w:rsidRDefault="00C936C3" w:rsidP="00C936C3">
      <w:pPr>
        <w:rPr>
          <w:rFonts w:cs="Calibri"/>
        </w:rPr>
      </w:pPr>
    </w:p>
    <w:p w14:paraId="550C3BD5" w14:textId="77777777" w:rsidR="00C936C3" w:rsidRPr="00807FA9" w:rsidRDefault="00C936C3" w:rsidP="00C936C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807FA9">
        <w:rPr>
          <w:rFonts w:cs="Calibri-Bold"/>
          <w:b/>
          <w:bCs/>
        </w:rPr>
        <w:t xml:space="preserve">References: </w:t>
      </w:r>
    </w:p>
    <w:p w14:paraId="1985B02D" w14:textId="5996639E" w:rsidR="008C6E7B" w:rsidRPr="008C6E7B" w:rsidRDefault="008C6E7B" w:rsidP="008C6E7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8C6E7B">
        <w:rPr>
          <w:rFonts w:ascii="Calibri" w:hAnsi="Calibri" w:cs="Times New Roman"/>
          <w:noProof/>
          <w:szCs w:val="24"/>
        </w:rPr>
        <w:t xml:space="preserve">1.  Walton, D.M. et al., 2013a. An overview of systematic reviews on prognostic factors in neck pain: results from the international collaboration on neck pain (ICON) project. </w:t>
      </w:r>
      <w:r w:rsidRPr="008C6E7B">
        <w:rPr>
          <w:rFonts w:ascii="Calibri" w:hAnsi="Calibri" w:cs="Times New Roman"/>
          <w:i/>
          <w:iCs/>
          <w:noProof/>
          <w:szCs w:val="24"/>
        </w:rPr>
        <w:t>The Open Orthopedics Journal</w:t>
      </w:r>
      <w:r w:rsidRPr="008C6E7B">
        <w:rPr>
          <w:rFonts w:ascii="Calibri" w:hAnsi="Calibri" w:cs="Times New Roman"/>
          <w:noProof/>
          <w:szCs w:val="24"/>
        </w:rPr>
        <w:t>, 7(Suppl 4), p.M9.</w:t>
      </w:r>
    </w:p>
    <w:p w14:paraId="38C47C80" w14:textId="77777777" w:rsidR="008C6E7B" w:rsidRPr="008C6E7B" w:rsidRDefault="008C6E7B" w:rsidP="008C6E7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/>
          <w:noProof/>
        </w:rPr>
      </w:pPr>
      <w:r w:rsidRPr="008C6E7B">
        <w:rPr>
          <w:rFonts w:ascii="Calibri" w:hAnsi="Calibri" w:cs="Times New Roman"/>
          <w:noProof/>
          <w:szCs w:val="24"/>
        </w:rPr>
        <w:t xml:space="preserve">2.  Walton, D.M. et al., 2016b. The Traumatic Injuries Distress Scale: A new tool that quantifies distress and has predictive validity with patient-reported outcomes. </w:t>
      </w:r>
      <w:r w:rsidRPr="008C6E7B">
        <w:rPr>
          <w:rFonts w:ascii="Calibri" w:hAnsi="Calibri" w:cs="Times New Roman"/>
          <w:i/>
          <w:iCs/>
          <w:noProof/>
          <w:szCs w:val="24"/>
        </w:rPr>
        <w:t>Journal of Orthopedic and Sports Physical Therapy</w:t>
      </w:r>
      <w:r w:rsidRPr="008C6E7B">
        <w:rPr>
          <w:rFonts w:ascii="Calibri" w:hAnsi="Calibri" w:cs="Times New Roman"/>
          <w:noProof/>
          <w:szCs w:val="24"/>
        </w:rPr>
        <w:t>, epub ahead.</w:t>
      </w:r>
    </w:p>
    <w:p w14:paraId="550C3BD9" w14:textId="64E8FF48" w:rsidR="00C936C3" w:rsidRPr="00807FA9" w:rsidRDefault="008C6E7B" w:rsidP="00C936C3">
      <w:r>
        <w:fldChar w:fldCharType="end"/>
      </w:r>
      <w:bookmarkStart w:id="0" w:name="_GoBack"/>
      <w:bookmarkEnd w:id="0"/>
    </w:p>
    <w:sectPr w:rsidR="00C936C3" w:rsidRPr="00807FA9" w:rsidSect="00C936C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12D00"/>
    <w:multiLevelType w:val="hybridMultilevel"/>
    <w:tmpl w:val="00088648"/>
    <w:lvl w:ilvl="0" w:tplc="E1040A14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C8"/>
    <w:rsid w:val="00686A39"/>
    <w:rsid w:val="00807FA9"/>
    <w:rsid w:val="00826D4D"/>
    <w:rsid w:val="008C6E7B"/>
    <w:rsid w:val="00A61B7C"/>
    <w:rsid w:val="00AD2FFD"/>
    <w:rsid w:val="00C936C3"/>
    <w:rsid w:val="00DA126D"/>
    <w:rsid w:val="00E6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3BC7"/>
  <w15:docId w15:val="{1B936161-1641-4ED0-B152-DD4F78EC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EF048-50E2-4175-9335-C0F7799A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David M. Walton</cp:lastModifiedBy>
  <cp:revision>4</cp:revision>
  <dcterms:created xsi:type="dcterms:W3CDTF">2016-05-05T14:55:00Z</dcterms:created>
  <dcterms:modified xsi:type="dcterms:W3CDTF">2016-05-05T15:06:00Z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dwalton5@uwo.ca@www.mendeley.com</vt:lpwstr>
  </property>
  <property fmtid="{D5CDD505-2E9C-101B-9397-08002B2CF9AE}" pid="4" name="Mendeley Citation Style_1">
    <vt:lpwstr>http://csl.mendeley.com/styles/446083911/JOSPT3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(author-date)</vt:lpwstr>
  </property>
  <property fmtid="{D5CDD505-2E9C-101B-9397-08002B2CF9AE}" pid="13" name="Mendeley Recent Style Id 4_1">
    <vt:lpwstr>http://csl.mendeley.com/styles/446083911/JOSPT3</vt:lpwstr>
  </property>
  <property fmtid="{D5CDD505-2E9C-101B-9397-08002B2CF9AE}" pid="14" name="Mendeley Recent Style Name 4_1">
    <vt:lpwstr>Harvard Reference format 1 (author-date) - Dave Walton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http://www.zotero.org/styles/scandinavian-journal-of-pain</vt:lpwstr>
  </property>
  <property fmtid="{D5CDD505-2E9C-101B-9397-08002B2CF9AE}" pid="24" name="Mendeley Recent Style Name 9_1">
    <vt:lpwstr>Scandinavian Journal of Pain</vt:lpwstr>
  </property>
</Properties>
</file>