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046C" w14:textId="5AD847A7" w:rsidR="00760051" w:rsidRDefault="00601687" w:rsidP="00601687">
      <w:pPr>
        <w:spacing w:after="0" w:line="240" w:lineRule="auto"/>
        <w:jc w:val="right"/>
      </w:pPr>
      <w:r>
        <w:t xml:space="preserve">     </w:t>
      </w:r>
      <w:r>
        <w:tab/>
      </w:r>
    </w:p>
    <w:p w14:paraId="6F4C957F" w14:textId="77777777" w:rsidR="005C351C" w:rsidRDefault="00760051" w:rsidP="00760051">
      <w:pPr>
        <w:spacing w:after="0" w:line="240" w:lineRule="auto"/>
      </w:pPr>
      <w:r>
        <w:tab/>
      </w:r>
      <w:r>
        <w:tab/>
      </w:r>
      <w:r>
        <w:tab/>
      </w:r>
      <w:r>
        <w:tab/>
      </w:r>
      <w:r>
        <w:tab/>
        <w:t xml:space="preserve">  </w:t>
      </w:r>
    </w:p>
    <w:p w14:paraId="6810297D" w14:textId="77777777" w:rsidR="00760051" w:rsidRDefault="00760051">
      <w:pPr>
        <w:rPr>
          <w:b/>
        </w:rPr>
      </w:pPr>
      <w:r w:rsidRPr="00562DAF">
        <w:rPr>
          <w:b/>
        </w:rPr>
        <w:t>FOR IMMEDIATE RELEASE</w:t>
      </w:r>
    </w:p>
    <w:p w14:paraId="4F148018" w14:textId="77777777" w:rsidR="000B2575" w:rsidRDefault="000B2575" w:rsidP="00EF18FF">
      <w:pPr>
        <w:spacing w:after="0" w:line="240" w:lineRule="auto"/>
        <w:jc w:val="center"/>
        <w:rPr>
          <w:rFonts w:cs="Arial"/>
          <w:b/>
          <w:sz w:val="28"/>
          <w:szCs w:val="28"/>
        </w:rPr>
      </w:pPr>
    </w:p>
    <w:p w14:paraId="6082F0D5" w14:textId="41EFA07E" w:rsidR="00883DC4" w:rsidRPr="00883DC4" w:rsidRDefault="009E7490" w:rsidP="00EF18FF">
      <w:pPr>
        <w:spacing w:after="0" w:line="240" w:lineRule="auto"/>
        <w:jc w:val="center"/>
        <w:rPr>
          <w:rFonts w:cs="Arial"/>
          <w:b/>
          <w:sz w:val="28"/>
          <w:szCs w:val="28"/>
        </w:rPr>
      </w:pPr>
      <w:r>
        <w:rPr>
          <w:rFonts w:cs="Arial"/>
          <w:b/>
          <w:sz w:val="28"/>
          <w:szCs w:val="28"/>
        </w:rPr>
        <w:t>Burns &amp; McDonnell Receives Important Certification from Mexico’s National Center for Energy Control (CENACE)</w:t>
      </w:r>
    </w:p>
    <w:p w14:paraId="1A5E0C99" w14:textId="0B8161C4" w:rsidR="00EF18FF" w:rsidRDefault="009E7490" w:rsidP="00EF18FF">
      <w:pPr>
        <w:spacing w:after="0" w:line="240" w:lineRule="auto"/>
        <w:jc w:val="center"/>
        <w:rPr>
          <w:rFonts w:cs="Arial"/>
          <w:i/>
          <w:sz w:val="28"/>
          <w:szCs w:val="28"/>
        </w:rPr>
      </w:pPr>
      <w:r>
        <w:rPr>
          <w:rFonts w:cs="Arial"/>
          <w:i/>
          <w:sz w:val="28"/>
          <w:szCs w:val="28"/>
        </w:rPr>
        <w:t xml:space="preserve">Company Gains Access to Crucial </w:t>
      </w:r>
      <w:r w:rsidR="00F0617A">
        <w:rPr>
          <w:rFonts w:cs="Arial"/>
          <w:i/>
          <w:sz w:val="28"/>
          <w:szCs w:val="28"/>
        </w:rPr>
        <w:t xml:space="preserve">Power </w:t>
      </w:r>
      <w:r>
        <w:rPr>
          <w:rFonts w:cs="Arial"/>
          <w:i/>
          <w:sz w:val="28"/>
          <w:szCs w:val="28"/>
        </w:rPr>
        <w:t xml:space="preserve">System </w:t>
      </w:r>
      <w:r w:rsidR="00DD4C30">
        <w:rPr>
          <w:rFonts w:cs="Arial"/>
          <w:i/>
          <w:sz w:val="28"/>
          <w:szCs w:val="28"/>
        </w:rPr>
        <w:t xml:space="preserve">Planning and Operations </w:t>
      </w:r>
      <w:r>
        <w:rPr>
          <w:rFonts w:cs="Arial"/>
          <w:i/>
          <w:sz w:val="28"/>
          <w:szCs w:val="28"/>
        </w:rPr>
        <w:t xml:space="preserve">Data in </w:t>
      </w:r>
      <w:r w:rsidR="00501D60">
        <w:rPr>
          <w:rFonts w:cs="Arial"/>
          <w:i/>
          <w:sz w:val="28"/>
          <w:szCs w:val="28"/>
        </w:rPr>
        <w:t xml:space="preserve">a </w:t>
      </w:r>
      <w:r>
        <w:rPr>
          <w:rFonts w:cs="Arial"/>
          <w:i/>
          <w:sz w:val="28"/>
          <w:szCs w:val="28"/>
        </w:rPr>
        <w:t>Move to Better Pinpoint Areas of Need on Mexico Power Grid</w:t>
      </w:r>
    </w:p>
    <w:p w14:paraId="5A3D7BBA" w14:textId="77777777" w:rsidR="00EF18FF" w:rsidRPr="00883DC4" w:rsidRDefault="00EF18FF" w:rsidP="00EF18FF">
      <w:pPr>
        <w:spacing w:after="0" w:line="240" w:lineRule="auto"/>
        <w:jc w:val="center"/>
        <w:rPr>
          <w:rFonts w:cs="Arial"/>
          <w:b/>
          <w:sz w:val="28"/>
          <w:szCs w:val="28"/>
        </w:rPr>
      </w:pPr>
    </w:p>
    <w:p w14:paraId="03C084F6" w14:textId="6850E689" w:rsidR="0036535D" w:rsidRPr="00BF3B95" w:rsidRDefault="00EF5209" w:rsidP="00EF18FF">
      <w:pPr>
        <w:spacing w:after="240" w:line="360" w:lineRule="exact"/>
        <w:rPr>
          <w:rFonts w:cs="Arial"/>
        </w:rPr>
      </w:pPr>
      <w:r w:rsidRPr="00BF3B95">
        <w:rPr>
          <w:rFonts w:cs="Arial"/>
        </w:rPr>
        <w:t>KANSAS CITY, M</w:t>
      </w:r>
      <w:r w:rsidR="00E125FC" w:rsidRPr="00BF3B95">
        <w:rPr>
          <w:rFonts w:cs="Arial"/>
        </w:rPr>
        <w:t>issouri</w:t>
      </w:r>
      <w:r w:rsidR="003E1850">
        <w:rPr>
          <w:rFonts w:cs="Arial"/>
        </w:rPr>
        <w:t xml:space="preserve"> </w:t>
      </w:r>
      <w:r w:rsidR="00AB34CC">
        <w:rPr>
          <w:rFonts w:cs="Arial"/>
        </w:rPr>
        <w:t>—</w:t>
      </w:r>
      <w:r w:rsidR="00EF18FF" w:rsidRPr="00BF3B95">
        <w:rPr>
          <w:rFonts w:cs="Arial"/>
        </w:rPr>
        <w:t xml:space="preserve"> </w:t>
      </w:r>
      <w:hyperlink r:id="rId8" w:history="1">
        <w:r w:rsidR="00C2670F" w:rsidRPr="00C32397">
          <w:rPr>
            <w:rStyle w:val="Hyperlink"/>
            <w:rFonts w:cs="Arial"/>
          </w:rPr>
          <w:t>Burns &amp; McDonnell</w:t>
        </w:r>
      </w:hyperlink>
      <w:r w:rsidR="00C2670F" w:rsidRPr="00BF3B95">
        <w:rPr>
          <w:rFonts w:cs="Arial"/>
        </w:rPr>
        <w:t xml:space="preserve"> has received a crucial certification from the </w:t>
      </w:r>
      <w:r w:rsidR="00900521" w:rsidRPr="00BF3B95">
        <w:t xml:space="preserve">Centro Nacional de Control De </w:t>
      </w:r>
      <w:proofErr w:type="spellStart"/>
      <w:r w:rsidR="00900521" w:rsidRPr="00BF3B95">
        <w:t>Energ¡a</w:t>
      </w:r>
      <w:proofErr w:type="spellEnd"/>
      <w:r w:rsidR="00900521" w:rsidRPr="00BF3B95">
        <w:t> </w:t>
      </w:r>
      <w:r w:rsidR="00C2670F" w:rsidRPr="00BF3B95">
        <w:rPr>
          <w:rFonts w:cs="Arial"/>
        </w:rPr>
        <w:t xml:space="preserve">(CENACE), Mexico’s independent system operator for the country’s electrical grid. Resulting from </w:t>
      </w:r>
      <w:r w:rsidR="009822CC" w:rsidRPr="00BF3B95">
        <w:rPr>
          <w:rFonts w:cs="Arial"/>
        </w:rPr>
        <w:t xml:space="preserve">the 2013 Energy Reform laws in Mexico, CENACE operates and controls Mexico’s wholesale energy markets with the goals of promoting competition, efficiency, open access and planning for needed </w:t>
      </w:r>
      <w:r w:rsidR="00447546" w:rsidRPr="00BF3B95">
        <w:rPr>
          <w:rFonts w:cs="Arial"/>
        </w:rPr>
        <w:t xml:space="preserve">system </w:t>
      </w:r>
      <w:r w:rsidR="009822CC" w:rsidRPr="00BF3B95">
        <w:rPr>
          <w:rFonts w:cs="Arial"/>
        </w:rPr>
        <w:t>upgrades and improvements.</w:t>
      </w:r>
      <w:r w:rsidR="00447546" w:rsidRPr="00BF3B95">
        <w:rPr>
          <w:rFonts w:cs="Arial"/>
        </w:rPr>
        <w:t xml:space="preserve"> Prior to the reform, CENACE was part of Mexico’s largest state-owned utility, </w:t>
      </w:r>
      <w:proofErr w:type="spellStart"/>
      <w:r w:rsidR="00447546" w:rsidRPr="00BF3B95">
        <w:rPr>
          <w:rFonts w:ascii="Noto Sans" w:hAnsi="Noto Sans" w:cs="Helvetica"/>
          <w:sz w:val="21"/>
          <w:szCs w:val="21"/>
        </w:rPr>
        <w:t>Comisión</w:t>
      </w:r>
      <w:proofErr w:type="spellEnd"/>
      <w:r w:rsidR="00447546" w:rsidRPr="00BF3B95">
        <w:rPr>
          <w:rFonts w:ascii="Noto Sans" w:hAnsi="Noto Sans" w:cs="Helvetica"/>
          <w:sz w:val="21"/>
          <w:szCs w:val="21"/>
        </w:rPr>
        <w:t xml:space="preserve"> Federal de </w:t>
      </w:r>
      <w:proofErr w:type="spellStart"/>
      <w:r w:rsidR="00447546" w:rsidRPr="00BF3B95">
        <w:rPr>
          <w:rFonts w:ascii="Noto Sans" w:hAnsi="Noto Sans" w:cs="Helvetica"/>
          <w:sz w:val="21"/>
          <w:szCs w:val="21"/>
        </w:rPr>
        <w:t>Electricidad</w:t>
      </w:r>
      <w:proofErr w:type="spellEnd"/>
      <w:r w:rsidR="00447546" w:rsidRPr="00BF3B95">
        <w:rPr>
          <w:rFonts w:ascii="Noto Sans" w:hAnsi="Noto Sans" w:cs="Helvetica"/>
          <w:sz w:val="21"/>
          <w:szCs w:val="21"/>
        </w:rPr>
        <w:t xml:space="preserve"> (CFE).</w:t>
      </w:r>
    </w:p>
    <w:p w14:paraId="3065BC66" w14:textId="0CA806D3" w:rsidR="009822CC" w:rsidRPr="00BF3B95" w:rsidRDefault="009822CC" w:rsidP="00EF18FF">
      <w:pPr>
        <w:spacing w:after="240" w:line="360" w:lineRule="exact"/>
        <w:rPr>
          <w:rFonts w:cs="Arial"/>
        </w:rPr>
      </w:pPr>
      <w:r w:rsidRPr="00BF3B95">
        <w:rPr>
          <w:rFonts w:cs="Arial"/>
        </w:rPr>
        <w:t xml:space="preserve">The certification awarded to Burns &amp; McDonnell allows the company’s engineers </w:t>
      </w:r>
      <w:r w:rsidR="00C2162C" w:rsidRPr="00BF3B95">
        <w:rPr>
          <w:rFonts w:cs="Arial"/>
        </w:rPr>
        <w:t xml:space="preserve">to </w:t>
      </w:r>
      <w:r w:rsidR="00447546" w:rsidRPr="00BF3B95">
        <w:rPr>
          <w:rFonts w:cs="Arial"/>
        </w:rPr>
        <w:t xml:space="preserve">access CENACE </w:t>
      </w:r>
      <w:r w:rsidR="00C2162C" w:rsidRPr="00BF3B95">
        <w:rPr>
          <w:rFonts w:cs="Arial"/>
        </w:rPr>
        <w:t xml:space="preserve">developed </w:t>
      </w:r>
      <w:r w:rsidR="00F0617A" w:rsidRPr="00BF3B95">
        <w:rPr>
          <w:rFonts w:cs="Arial"/>
        </w:rPr>
        <w:t>power system models</w:t>
      </w:r>
      <w:r w:rsidR="00447546" w:rsidRPr="00BF3B95">
        <w:rPr>
          <w:rFonts w:cs="Arial"/>
        </w:rPr>
        <w:t xml:space="preserve">, enabling </w:t>
      </w:r>
      <w:r w:rsidRPr="00BF3B95">
        <w:rPr>
          <w:rFonts w:cs="Arial"/>
        </w:rPr>
        <w:t xml:space="preserve">review </w:t>
      </w:r>
      <w:r w:rsidR="00447546" w:rsidRPr="00BF3B95">
        <w:rPr>
          <w:rFonts w:cs="Arial"/>
        </w:rPr>
        <w:t xml:space="preserve">of </w:t>
      </w:r>
      <w:r w:rsidRPr="00BF3B95">
        <w:rPr>
          <w:rFonts w:cs="Arial"/>
        </w:rPr>
        <w:t xml:space="preserve">a wealth of data on grid performance and specific areas where </w:t>
      </w:r>
      <w:hyperlink r:id="rId9" w:history="1">
        <w:r w:rsidRPr="00ED25FB">
          <w:rPr>
            <w:rStyle w:val="Hyperlink"/>
            <w:rFonts w:cs="Arial"/>
          </w:rPr>
          <w:t>generation</w:t>
        </w:r>
      </w:hyperlink>
      <w:r w:rsidRPr="00BF3B95">
        <w:rPr>
          <w:rFonts w:cs="Arial"/>
        </w:rPr>
        <w:t xml:space="preserve"> or </w:t>
      </w:r>
      <w:hyperlink r:id="rId10" w:history="1">
        <w:r w:rsidRPr="00ED25FB">
          <w:rPr>
            <w:rStyle w:val="Hyperlink"/>
            <w:rFonts w:cs="Arial"/>
          </w:rPr>
          <w:t>transmission</w:t>
        </w:r>
      </w:hyperlink>
      <w:r w:rsidRPr="00BF3B95">
        <w:rPr>
          <w:rFonts w:cs="Arial"/>
        </w:rPr>
        <w:t xml:space="preserve"> assets could help improve reliability and efficiency. </w:t>
      </w:r>
    </w:p>
    <w:p w14:paraId="6B1320B4" w14:textId="7CD42843" w:rsidR="009822CC" w:rsidRPr="00BF3B95" w:rsidRDefault="009822CC" w:rsidP="00EF18FF">
      <w:pPr>
        <w:spacing w:after="240" w:line="360" w:lineRule="exact"/>
        <w:rPr>
          <w:rFonts w:cs="Arial"/>
        </w:rPr>
      </w:pPr>
      <w:r w:rsidRPr="00BF3B95">
        <w:rPr>
          <w:rFonts w:cs="Arial"/>
        </w:rPr>
        <w:t xml:space="preserve">“The certification allows us to have access to the </w:t>
      </w:r>
      <w:r w:rsidR="00F0617A" w:rsidRPr="00BF3B95">
        <w:rPr>
          <w:rFonts w:cs="Arial"/>
        </w:rPr>
        <w:t xml:space="preserve">essential data needed for analysis, </w:t>
      </w:r>
      <w:r w:rsidRPr="00BF3B95">
        <w:rPr>
          <w:rFonts w:cs="Arial"/>
        </w:rPr>
        <w:t xml:space="preserve">so we can advise </w:t>
      </w:r>
      <w:r w:rsidR="002B0D36" w:rsidRPr="00BF3B95">
        <w:rPr>
          <w:rFonts w:cs="Arial"/>
        </w:rPr>
        <w:t xml:space="preserve">both </w:t>
      </w:r>
      <w:r w:rsidRPr="00BF3B95">
        <w:rPr>
          <w:rFonts w:cs="Arial"/>
        </w:rPr>
        <w:t xml:space="preserve">the system operator and our clients with our best engineering judgment on where upgrades, improvements or new generation might benefit overall system reliability,” says Noé H. </w:t>
      </w:r>
      <w:r w:rsidRPr="00BF3B95">
        <w:t>Sáenz,</w:t>
      </w:r>
      <w:r w:rsidR="0078760D" w:rsidRPr="00BF3B95">
        <w:t xml:space="preserve"> </w:t>
      </w:r>
      <w:r w:rsidR="007A5A3F" w:rsidRPr="00BF3B95">
        <w:t xml:space="preserve">Country Manager – </w:t>
      </w:r>
      <w:r w:rsidR="0078760D" w:rsidRPr="00BF3B95">
        <w:t>Mexico</w:t>
      </w:r>
      <w:r w:rsidR="007A5A3F" w:rsidRPr="00BF3B95">
        <w:t>,</w:t>
      </w:r>
      <w:r w:rsidR="0078760D" w:rsidRPr="00BF3B95">
        <w:t xml:space="preserve"> for Burns &amp; McDonnell</w:t>
      </w:r>
      <w:r w:rsidRPr="00BF3B95">
        <w:t xml:space="preserve">. “This level of information sharing is a win-win for both the system operator, CENACE, and developers and power </w:t>
      </w:r>
      <w:r w:rsidR="00447546" w:rsidRPr="00BF3B95">
        <w:t xml:space="preserve">generation </w:t>
      </w:r>
      <w:r w:rsidR="00FF39CA" w:rsidRPr="00BF3B95">
        <w:t xml:space="preserve">and transmission </w:t>
      </w:r>
      <w:r w:rsidR="00447546" w:rsidRPr="00BF3B95">
        <w:t>owners in Mexico.”</w:t>
      </w:r>
    </w:p>
    <w:p w14:paraId="0BB9848C" w14:textId="397F0760" w:rsidR="00883DC4" w:rsidRPr="00BF3B95" w:rsidRDefault="00447546" w:rsidP="00EF18FF">
      <w:pPr>
        <w:spacing w:after="240" w:line="360" w:lineRule="exact"/>
        <w:rPr>
          <w:rFonts w:cs="Arial"/>
        </w:rPr>
      </w:pPr>
      <w:r w:rsidRPr="00BF3B95">
        <w:rPr>
          <w:rFonts w:cs="Arial"/>
        </w:rPr>
        <w:t xml:space="preserve">Since the move to </w:t>
      </w:r>
      <w:r w:rsidR="00FF39CA" w:rsidRPr="00BF3B95">
        <w:rPr>
          <w:rFonts w:cs="Arial"/>
        </w:rPr>
        <w:t xml:space="preserve">deregulate and partially </w:t>
      </w:r>
      <w:r w:rsidRPr="00BF3B95">
        <w:rPr>
          <w:rFonts w:cs="Arial"/>
        </w:rPr>
        <w:t>privatize its electrical system, Mexico began moving quickly to integrate solar, wind</w:t>
      </w:r>
      <w:r w:rsidR="00240EE3" w:rsidRPr="00BF3B95">
        <w:rPr>
          <w:rFonts w:cs="Arial"/>
        </w:rPr>
        <w:t xml:space="preserve"> and gas-fired generation on the system while also </w:t>
      </w:r>
      <w:r w:rsidR="002B0D36" w:rsidRPr="00BF3B95">
        <w:rPr>
          <w:rFonts w:cs="Arial"/>
        </w:rPr>
        <w:t>upgrading a deteriorated power transmission system</w:t>
      </w:r>
      <w:r w:rsidR="00240EE3" w:rsidRPr="00BF3B95">
        <w:rPr>
          <w:rFonts w:cs="Arial"/>
        </w:rPr>
        <w:t xml:space="preserve">. CENACE is responsible for </w:t>
      </w:r>
      <w:r w:rsidRPr="00BF3B95">
        <w:rPr>
          <w:rFonts w:cs="Arial"/>
        </w:rPr>
        <w:t>implementing competitive wholesale power auctions intended to lock in lowest cost electricity suppliers</w:t>
      </w:r>
      <w:r w:rsidR="00240EE3" w:rsidRPr="00BF3B95">
        <w:rPr>
          <w:rFonts w:cs="Arial"/>
        </w:rPr>
        <w:t xml:space="preserve"> </w:t>
      </w:r>
      <w:proofErr w:type="gramStart"/>
      <w:r w:rsidR="00240EE3" w:rsidRPr="00BF3B95">
        <w:rPr>
          <w:rFonts w:cs="Arial"/>
        </w:rPr>
        <w:t>as a means to</w:t>
      </w:r>
      <w:proofErr w:type="gramEnd"/>
      <w:r w:rsidR="00240EE3" w:rsidRPr="00BF3B95">
        <w:rPr>
          <w:rFonts w:cs="Arial"/>
        </w:rPr>
        <w:t xml:space="preserve"> upgrade the overall power grid for the entire country</w:t>
      </w:r>
      <w:r w:rsidRPr="00BF3B95">
        <w:rPr>
          <w:rFonts w:cs="Arial"/>
        </w:rPr>
        <w:t xml:space="preserve">. </w:t>
      </w:r>
    </w:p>
    <w:p w14:paraId="38664D74" w14:textId="06975D70" w:rsidR="00FF39CA" w:rsidRPr="00BF3B95" w:rsidRDefault="00240EE3" w:rsidP="00FF39CA">
      <w:r w:rsidRPr="00BF3B95">
        <w:rPr>
          <w:rFonts w:cs="Arial"/>
        </w:rPr>
        <w:t xml:space="preserve">The power system certification earned by Burns &amp; McDonnell enables the company to serve as a strategic consultant advising project developers </w:t>
      </w:r>
      <w:r w:rsidR="00F0617A" w:rsidRPr="00BF3B95">
        <w:rPr>
          <w:rFonts w:cs="Arial"/>
        </w:rPr>
        <w:t xml:space="preserve">on transmission constraints and </w:t>
      </w:r>
      <w:r w:rsidRPr="00BF3B95">
        <w:rPr>
          <w:rFonts w:cs="Arial"/>
        </w:rPr>
        <w:t>which sites might have the potential to be built for the lowest cost and provide the most benefit to grid operations.</w:t>
      </w:r>
      <w:r w:rsidR="00FF39CA" w:rsidRPr="00BF3B95">
        <w:rPr>
          <w:rFonts w:cs="Arial"/>
        </w:rPr>
        <w:t xml:space="preserve"> </w:t>
      </w:r>
      <w:r w:rsidR="00FF39CA" w:rsidRPr="00BF3B95">
        <w:t xml:space="preserve"> </w:t>
      </w:r>
    </w:p>
    <w:p w14:paraId="0D2F9536" w14:textId="1E67152D" w:rsidR="00240EE3" w:rsidRPr="00BF3B95" w:rsidRDefault="00240EE3" w:rsidP="00EF18FF">
      <w:pPr>
        <w:spacing w:after="240" w:line="360" w:lineRule="exact"/>
        <w:rPr>
          <w:rFonts w:cs="Arial"/>
        </w:rPr>
      </w:pPr>
      <w:r w:rsidRPr="00BF3B95">
        <w:rPr>
          <w:rFonts w:cs="Arial"/>
        </w:rPr>
        <w:lastRenderedPageBreak/>
        <w:t>“There is an urgen</w:t>
      </w:r>
      <w:r w:rsidR="00FF39CA" w:rsidRPr="00BF3B95">
        <w:rPr>
          <w:rFonts w:cs="Arial"/>
        </w:rPr>
        <w:t xml:space="preserve">t need to upgrade and improve power systems as Mexico quickly transitions to a first-world economy,” </w:t>
      </w:r>
      <w:r w:rsidR="00FF39CA" w:rsidRPr="00BF3B95">
        <w:t xml:space="preserve">Sáenz says. </w:t>
      </w:r>
      <w:r w:rsidR="009E7490" w:rsidRPr="00BF3B95">
        <w:rPr>
          <w:rFonts w:cs="Arial"/>
        </w:rPr>
        <w:t>“So</w:t>
      </w:r>
      <w:r w:rsidR="00BF3B95">
        <w:rPr>
          <w:rFonts w:cs="Arial"/>
        </w:rPr>
        <w:t>,</w:t>
      </w:r>
      <w:r w:rsidR="009E7490" w:rsidRPr="00BF3B95">
        <w:rPr>
          <w:rFonts w:cs="Arial"/>
        </w:rPr>
        <w:t xml:space="preserve"> time is of the essence when it comes to CENACE approval of projects that will upgrade the system. This certification allows us to better fulfill our consulting role in allowing clients to propose projects that have the best chance of success.”</w:t>
      </w:r>
    </w:p>
    <w:p w14:paraId="44C580B9" w14:textId="77777777" w:rsidR="00883DC4" w:rsidRPr="00BF3B95" w:rsidRDefault="00883DC4" w:rsidP="00EF18FF">
      <w:pPr>
        <w:spacing w:after="240" w:line="360" w:lineRule="exact"/>
        <w:rPr>
          <w:rFonts w:cs="Arial"/>
        </w:rPr>
      </w:pPr>
    </w:p>
    <w:p w14:paraId="5CB3AA22" w14:textId="77777777" w:rsidR="00EF18FF" w:rsidRPr="00BF3B95" w:rsidRDefault="00EF18FF" w:rsidP="00EF18FF">
      <w:pPr>
        <w:jc w:val="center"/>
        <w:rPr>
          <w:rFonts w:cs="Arial"/>
          <w:b/>
        </w:rPr>
      </w:pPr>
      <w:bookmarkStart w:id="0" w:name="_GoBack"/>
      <w:bookmarkEnd w:id="0"/>
      <w:r w:rsidRPr="00BF3B95">
        <w:rPr>
          <w:rFonts w:cs="Arial"/>
          <w:b/>
        </w:rPr>
        <w:t>###</w:t>
      </w:r>
    </w:p>
    <w:p w14:paraId="7392BB9B" w14:textId="77777777" w:rsidR="00EB34AD" w:rsidRPr="00BF3B95" w:rsidRDefault="00EB34AD" w:rsidP="00EB34AD">
      <w:pPr>
        <w:spacing w:line="240" w:lineRule="auto"/>
        <w:rPr>
          <w:rFonts w:cs="Times New Roman"/>
          <w:b/>
          <w:sz w:val="20"/>
          <w:szCs w:val="20"/>
        </w:rPr>
      </w:pPr>
      <w:r w:rsidRPr="00BF3B95">
        <w:rPr>
          <w:rFonts w:cs="Times New Roman"/>
          <w:b/>
          <w:sz w:val="20"/>
          <w:szCs w:val="20"/>
        </w:rPr>
        <w:t>About Burns &amp; McDonnell</w:t>
      </w:r>
    </w:p>
    <w:p w14:paraId="5F3420AB" w14:textId="46842D3F" w:rsidR="00EB34AD" w:rsidRPr="00BF3B95" w:rsidRDefault="00EB34AD" w:rsidP="00EB34AD">
      <w:pPr>
        <w:spacing w:after="0" w:line="240" w:lineRule="auto"/>
        <w:rPr>
          <w:sz w:val="20"/>
          <w:szCs w:val="20"/>
        </w:rPr>
      </w:pPr>
      <w:r w:rsidRPr="00BF3B95">
        <w:rPr>
          <w:sz w:val="20"/>
          <w:szCs w:val="20"/>
        </w:rPr>
        <w:t xml:space="preserve">Burns &amp; McDonnell is a family of companies made up of more than </w:t>
      </w:r>
      <w:r w:rsidR="00192853" w:rsidRPr="00BF3B95">
        <w:rPr>
          <w:sz w:val="20"/>
          <w:szCs w:val="20"/>
        </w:rPr>
        <w:t>6</w:t>
      </w:r>
      <w:r w:rsidRPr="00BF3B95">
        <w:rPr>
          <w:sz w:val="20"/>
          <w:szCs w:val="20"/>
        </w:rPr>
        <w:t>,</w:t>
      </w:r>
      <w:r w:rsidR="00192853" w:rsidRPr="00BF3B95">
        <w:rPr>
          <w:sz w:val="20"/>
          <w:szCs w:val="20"/>
        </w:rPr>
        <w:t>000</w:t>
      </w:r>
      <w:r w:rsidRPr="00BF3B95">
        <w:rPr>
          <w:sz w:val="20"/>
          <w:szCs w:val="20"/>
        </w:rPr>
        <w:t xml:space="preserve">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on </w:t>
      </w:r>
      <w:r w:rsidRPr="00BF3B95">
        <w:rPr>
          <w:i/>
          <w:sz w:val="20"/>
          <w:szCs w:val="20"/>
        </w:rPr>
        <w:t xml:space="preserve">Fortune’s </w:t>
      </w:r>
      <w:r w:rsidRPr="00BF3B95">
        <w:rPr>
          <w:sz w:val="20"/>
          <w:szCs w:val="20"/>
        </w:rPr>
        <w:t>201</w:t>
      </w:r>
      <w:r w:rsidR="00234E99" w:rsidRPr="00BF3B95">
        <w:rPr>
          <w:sz w:val="20"/>
          <w:szCs w:val="20"/>
        </w:rPr>
        <w:t>8</w:t>
      </w:r>
      <w:r w:rsidRPr="00BF3B95">
        <w:rPr>
          <w:sz w:val="20"/>
          <w:szCs w:val="20"/>
        </w:rPr>
        <w:t xml:space="preserve"> list of</w:t>
      </w:r>
      <w:r w:rsidRPr="00BF3B95">
        <w:rPr>
          <w:i/>
          <w:sz w:val="20"/>
          <w:szCs w:val="20"/>
        </w:rPr>
        <w:t xml:space="preserve"> </w:t>
      </w:r>
      <w:r w:rsidRPr="00BF3B95">
        <w:rPr>
          <w:sz w:val="20"/>
          <w:szCs w:val="20"/>
        </w:rPr>
        <w:t>100 Best Companies to Work For</w:t>
      </w:r>
      <w:r w:rsidRPr="00BF3B95">
        <w:rPr>
          <w:i/>
          <w:sz w:val="20"/>
          <w:szCs w:val="20"/>
        </w:rPr>
        <w:t xml:space="preserve">. </w:t>
      </w:r>
      <w:r w:rsidRPr="00BF3B95">
        <w:rPr>
          <w:sz w:val="20"/>
          <w:szCs w:val="20"/>
        </w:rPr>
        <w:t>For more information, visit </w:t>
      </w:r>
      <w:hyperlink r:id="rId11" w:history="1">
        <w:r w:rsidRPr="00BF3B95">
          <w:rPr>
            <w:sz w:val="20"/>
            <w:szCs w:val="20"/>
            <w:u w:val="single"/>
          </w:rPr>
          <w:t>burnsmcd.com</w:t>
        </w:r>
      </w:hyperlink>
      <w:r w:rsidRPr="00BF3B95">
        <w:rPr>
          <w:sz w:val="20"/>
          <w:szCs w:val="20"/>
        </w:rPr>
        <w:t>.</w:t>
      </w:r>
    </w:p>
    <w:p w14:paraId="6DD62798" w14:textId="77777777" w:rsidR="00EB34AD" w:rsidRPr="00BF3B95" w:rsidRDefault="00EB34AD" w:rsidP="00EF18FF">
      <w:pPr>
        <w:jc w:val="center"/>
        <w:rPr>
          <w:rFonts w:cs="Arial"/>
          <w:b/>
        </w:rPr>
      </w:pPr>
    </w:p>
    <w:sectPr w:rsidR="00EB34AD" w:rsidRPr="00BF3B95" w:rsidSect="00601687">
      <w:head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8101" w14:textId="77777777" w:rsidR="0052555A" w:rsidRDefault="0052555A" w:rsidP="0063643E">
      <w:pPr>
        <w:spacing w:after="0" w:line="240" w:lineRule="auto"/>
      </w:pPr>
      <w:r>
        <w:separator/>
      </w:r>
    </w:p>
  </w:endnote>
  <w:endnote w:type="continuationSeparator" w:id="0">
    <w:p w14:paraId="00D60384" w14:textId="77777777" w:rsidR="0052555A" w:rsidRDefault="0052555A"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Noto Sans">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674F" w14:textId="77777777" w:rsidR="0052555A" w:rsidRDefault="0052555A" w:rsidP="0063643E">
      <w:pPr>
        <w:spacing w:after="0" w:line="240" w:lineRule="auto"/>
      </w:pPr>
      <w:r>
        <w:separator/>
      </w:r>
    </w:p>
  </w:footnote>
  <w:footnote w:type="continuationSeparator" w:id="0">
    <w:p w14:paraId="0F46C5F5" w14:textId="77777777" w:rsidR="0052555A" w:rsidRDefault="0052555A"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7051" w14:textId="18FBC2AB" w:rsidR="00601687" w:rsidRDefault="00601687" w:rsidP="00601687">
    <w:pPr>
      <w:spacing w:after="0" w:line="240" w:lineRule="auto"/>
      <w:jc w:val="right"/>
    </w:pPr>
    <w:r>
      <w:rPr>
        <w:noProof/>
      </w:rPr>
      <w:drawing>
        <wp:anchor distT="0" distB="0" distL="114300" distR="114300" simplePos="0" relativeHeight="251659264" behindDoc="0" locked="0" layoutInCell="1" allowOverlap="1" wp14:anchorId="5D499F21" wp14:editId="6C6A9E09">
          <wp:simplePos x="0" y="0"/>
          <wp:positionH relativeFrom="column">
            <wp:posOffset>-1270</wp:posOffset>
          </wp:positionH>
          <wp:positionV relativeFrom="paragraph">
            <wp:posOffset>-47625</wp:posOffset>
          </wp:positionV>
          <wp:extent cx="253619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mp;McDonnell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190" cy="381000"/>
                  </a:xfrm>
                  <a:prstGeom prst="rect">
                    <a:avLst/>
                  </a:prstGeom>
                </pic:spPr>
              </pic:pic>
            </a:graphicData>
          </a:graphic>
          <wp14:sizeRelH relativeFrom="page">
            <wp14:pctWidth>0</wp14:pctWidth>
          </wp14:sizeRelH>
          <wp14:sizeRelV relativeFrom="page">
            <wp14:pctHeight>0</wp14:pctHeight>
          </wp14:sizeRelV>
        </wp:anchor>
      </w:drawing>
    </w:r>
    <w:r>
      <w:t xml:space="preserve">Contact:  </w:t>
    </w:r>
    <w:r w:rsidR="00BF3B95">
      <w:t>Roger Dick</w:t>
    </w:r>
    <w:r>
      <w:t>, Burns &amp; McDonnell</w:t>
    </w:r>
  </w:p>
  <w:p w14:paraId="46A9B9DA" w14:textId="28DC16E5" w:rsidR="00601687" w:rsidRDefault="00601687" w:rsidP="00601687">
    <w:pPr>
      <w:spacing w:after="0" w:line="240" w:lineRule="auto"/>
      <w:jc w:val="right"/>
    </w:pPr>
    <w:r>
      <w:tab/>
    </w:r>
    <w:r>
      <w:tab/>
    </w:r>
    <w:r>
      <w:tab/>
    </w:r>
    <w:r>
      <w:tab/>
    </w:r>
    <w:r w:rsidR="00E65BCA">
      <w:t>816-</w:t>
    </w:r>
    <w:r w:rsidR="00BF3B95">
      <w:t>822-3339</w:t>
    </w:r>
    <w:r>
      <w:t xml:space="preserve">   </w:t>
    </w:r>
  </w:p>
  <w:p w14:paraId="784BC5A5" w14:textId="5999F032" w:rsidR="00601687" w:rsidRDefault="00601687" w:rsidP="00601687">
    <w:pPr>
      <w:spacing w:after="0" w:line="240" w:lineRule="auto"/>
      <w:ind w:left="2160" w:firstLine="720"/>
      <w:jc w:val="right"/>
    </w:pPr>
    <w:r>
      <w:t xml:space="preserve">                                              </w:t>
    </w:r>
    <w:r w:rsidR="00BF3B95">
      <w:t>rdick</w:t>
    </w:r>
    <w:r w:rsidR="00E65BCA">
      <w:t>@burnsmcd.com</w:t>
    </w:r>
  </w:p>
  <w:p w14:paraId="0DEA48E6" w14:textId="77777777" w:rsidR="0063643E" w:rsidRDefault="0063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4606D"/>
    <w:multiLevelType w:val="multilevel"/>
    <w:tmpl w:val="FE8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61"/>
    <w:rsid w:val="00001F62"/>
    <w:rsid w:val="00040C6C"/>
    <w:rsid w:val="00041384"/>
    <w:rsid w:val="00042F98"/>
    <w:rsid w:val="000B2575"/>
    <w:rsid w:val="000B4447"/>
    <w:rsid w:val="000C7246"/>
    <w:rsid w:val="000C7712"/>
    <w:rsid w:val="0010517A"/>
    <w:rsid w:val="001126C0"/>
    <w:rsid w:val="00192853"/>
    <w:rsid w:val="001976CA"/>
    <w:rsid w:val="001B3945"/>
    <w:rsid w:val="001B5837"/>
    <w:rsid w:val="001B5AB5"/>
    <w:rsid w:val="001D51CD"/>
    <w:rsid w:val="00217557"/>
    <w:rsid w:val="00217AE4"/>
    <w:rsid w:val="00225BFC"/>
    <w:rsid w:val="00234E99"/>
    <w:rsid w:val="00240EE3"/>
    <w:rsid w:val="002655F7"/>
    <w:rsid w:val="002706A2"/>
    <w:rsid w:val="002A3454"/>
    <w:rsid w:val="002B0D36"/>
    <w:rsid w:val="003035AB"/>
    <w:rsid w:val="00320DED"/>
    <w:rsid w:val="00341011"/>
    <w:rsid w:val="003643B7"/>
    <w:rsid w:val="0036535D"/>
    <w:rsid w:val="003D5B86"/>
    <w:rsid w:val="003E1850"/>
    <w:rsid w:val="004131E6"/>
    <w:rsid w:val="004440C5"/>
    <w:rsid w:val="0044649B"/>
    <w:rsid w:val="00447546"/>
    <w:rsid w:val="004B61FA"/>
    <w:rsid w:val="004C290C"/>
    <w:rsid w:val="004F1D3E"/>
    <w:rsid w:val="004F523C"/>
    <w:rsid w:val="004F68C1"/>
    <w:rsid w:val="00501D60"/>
    <w:rsid w:val="00511705"/>
    <w:rsid w:val="00523260"/>
    <w:rsid w:val="0052555A"/>
    <w:rsid w:val="00526917"/>
    <w:rsid w:val="0053358E"/>
    <w:rsid w:val="00562DAF"/>
    <w:rsid w:val="005661F1"/>
    <w:rsid w:val="00585B50"/>
    <w:rsid w:val="005A613C"/>
    <w:rsid w:val="005B2852"/>
    <w:rsid w:val="005C7DEC"/>
    <w:rsid w:val="00601687"/>
    <w:rsid w:val="00631286"/>
    <w:rsid w:val="00632CCA"/>
    <w:rsid w:val="006351E3"/>
    <w:rsid w:val="0063643E"/>
    <w:rsid w:val="006538AB"/>
    <w:rsid w:val="0066486B"/>
    <w:rsid w:val="00673699"/>
    <w:rsid w:val="006F0670"/>
    <w:rsid w:val="006F2621"/>
    <w:rsid w:val="00751C51"/>
    <w:rsid w:val="00760051"/>
    <w:rsid w:val="0078760D"/>
    <w:rsid w:val="007A5A3F"/>
    <w:rsid w:val="007A6D4E"/>
    <w:rsid w:val="007B247A"/>
    <w:rsid w:val="007B5974"/>
    <w:rsid w:val="007C6DA4"/>
    <w:rsid w:val="00806475"/>
    <w:rsid w:val="008508B2"/>
    <w:rsid w:val="0086573E"/>
    <w:rsid w:val="0087115B"/>
    <w:rsid w:val="00883DC4"/>
    <w:rsid w:val="008A0A5D"/>
    <w:rsid w:val="008A1EF2"/>
    <w:rsid w:val="00900521"/>
    <w:rsid w:val="00967BCD"/>
    <w:rsid w:val="009822CC"/>
    <w:rsid w:val="00986D6A"/>
    <w:rsid w:val="00993434"/>
    <w:rsid w:val="00994630"/>
    <w:rsid w:val="009B44A1"/>
    <w:rsid w:val="009C672D"/>
    <w:rsid w:val="009E7490"/>
    <w:rsid w:val="00A81F61"/>
    <w:rsid w:val="00A967CA"/>
    <w:rsid w:val="00AA33B5"/>
    <w:rsid w:val="00AA6B0F"/>
    <w:rsid w:val="00AB34CC"/>
    <w:rsid w:val="00AD27C8"/>
    <w:rsid w:val="00B20217"/>
    <w:rsid w:val="00B309B2"/>
    <w:rsid w:val="00B32EB9"/>
    <w:rsid w:val="00B46BBA"/>
    <w:rsid w:val="00B6400A"/>
    <w:rsid w:val="00B65DA3"/>
    <w:rsid w:val="00BD7770"/>
    <w:rsid w:val="00BF3B95"/>
    <w:rsid w:val="00BF4B97"/>
    <w:rsid w:val="00C15A61"/>
    <w:rsid w:val="00C2162C"/>
    <w:rsid w:val="00C2670F"/>
    <w:rsid w:val="00C31021"/>
    <w:rsid w:val="00C32397"/>
    <w:rsid w:val="00C61F66"/>
    <w:rsid w:val="00C75B81"/>
    <w:rsid w:val="00CA1966"/>
    <w:rsid w:val="00CC7FE7"/>
    <w:rsid w:val="00D53B53"/>
    <w:rsid w:val="00D618E0"/>
    <w:rsid w:val="00D73E6A"/>
    <w:rsid w:val="00DA4ABF"/>
    <w:rsid w:val="00DB7865"/>
    <w:rsid w:val="00DC29E8"/>
    <w:rsid w:val="00DD4C30"/>
    <w:rsid w:val="00DD56E4"/>
    <w:rsid w:val="00E04276"/>
    <w:rsid w:val="00E125FC"/>
    <w:rsid w:val="00E227E9"/>
    <w:rsid w:val="00E36C0D"/>
    <w:rsid w:val="00E61CE8"/>
    <w:rsid w:val="00E6524F"/>
    <w:rsid w:val="00E65BCA"/>
    <w:rsid w:val="00E731A6"/>
    <w:rsid w:val="00E849F5"/>
    <w:rsid w:val="00E87709"/>
    <w:rsid w:val="00E9095B"/>
    <w:rsid w:val="00EB34AD"/>
    <w:rsid w:val="00ED25FB"/>
    <w:rsid w:val="00EF08F9"/>
    <w:rsid w:val="00EF18FF"/>
    <w:rsid w:val="00EF5209"/>
    <w:rsid w:val="00F03645"/>
    <w:rsid w:val="00F0617A"/>
    <w:rsid w:val="00F41443"/>
    <w:rsid w:val="00F93821"/>
    <w:rsid w:val="00FA6B62"/>
    <w:rsid w:val="00FA73C6"/>
    <w:rsid w:val="00FC060E"/>
    <w:rsid w:val="00FC1597"/>
    <w:rsid w:val="00FC612B"/>
    <w:rsid w:val="00FF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2D35"/>
  <w15:docId w15:val="{A6D75C69-9E46-4866-B98A-661904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character" w:styleId="Strong">
    <w:name w:val="Strong"/>
    <w:basedOn w:val="DefaultParagraphFont"/>
    <w:uiPriority w:val="22"/>
    <w:qFormat/>
    <w:rsid w:val="00C2670F"/>
    <w:rPr>
      <w:b/>
      <w:bCs/>
    </w:rPr>
  </w:style>
  <w:style w:type="character" w:styleId="UnresolvedMention">
    <w:name w:val="Unresolved Mention"/>
    <w:basedOn w:val="DefaultParagraphFont"/>
    <w:uiPriority w:val="99"/>
    <w:semiHidden/>
    <w:unhideWhenUsed/>
    <w:rsid w:val="00C3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 w:id="1238051022">
      <w:bodyDiv w:val="1"/>
      <w:marLeft w:val="0"/>
      <w:marRight w:val="0"/>
      <w:marTop w:val="0"/>
      <w:marBottom w:val="0"/>
      <w:divBdr>
        <w:top w:val="none" w:sz="0" w:space="0" w:color="auto"/>
        <w:left w:val="none" w:sz="0" w:space="0" w:color="auto"/>
        <w:bottom w:val="none" w:sz="0" w:space="0" w:color="auto"/>
        <w:right w:val="none" w:sz="0" w:space="0" w:color="auto"/>
      </w:divBdr>
    </w:div>
    <w:div w:id="1929999456">
      <w:bodyDiv w:val="1"/>
      <w:marLeft w:val="0"/>
      <w:marRight w:val="0"/>
      <w:marTop w:val="0"/>
      <w:marBottom w:val="0"/>
      <w:divBdr>
        <w:top w:val="none" w:sz="0" w:space="0" w:color="auto"/>
        <w:left w:val="none" w:sz="0" w:space="0" w:color="auto"/>
        <w:bottom w:val="none" w:sz="0" w:space="0" w:color="auto"/>
        <w:right w:val="none" w:sz="0" w:space="0" w:color="auto"/>
      </w:divBdr>
      <w:divsChild>
        <w:div w:id="80105684">
          <w:marLeft w:val="0"/>
          <w:marRight w:val="0"/>
          <w:marTop w:val="0"/>
          <w:marBottom w:val="0"/>
          <w:divBdr>
            <w:top w:val="none" w:sz="0" w:space="0" w:color="auto"/>
            <w:left w:val="none" w:sz="0" w:space="0" w:color="auto"/>
            <w:bottom w:val="none" w:sz="0" w:space="0" w:color="auto"/>
            <w:right w:val="none" w:sz="0" w:space="0" w:color="auto"/>
          </w:divBdr>
          <w:divsChild>
            <w:div w:id="179978648">
              <w:marLeft w:val="0"/>
              <w:marRight w:val="0"/>
              <w:marTop w:val="0"/>
              <w:marBottom w:val="0"/>
              <w:divBdr>
                <w:top w:val="none" w:sz="0" w:space="0" w:color="auto"/>
                <w:left w:val="none" w:sz="0" w:space="0" w:color="auto"/>
                <w:bottom w:val="none" w:sz="0" w:space="0" w:color="auto"/>
                <w:right w:val="none" w:sz="0" w:space="0" w:color="auto"/>
              </w:divBdr>
              <w:divsChild>
                <w:div w:id="11028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s.ly/H0cJlKX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s.ly/H0cJmTV0" TargetMode="External"/><Relationship Id="rId5" Type="http://schemas.openxmlformats.org/officeDocument/2006/relationships/webSettings" Target="webSettings.xml"/><Relationship Id="rId10" Type="http://schemas.openxmlformats.org/officeDocument/2006/relationships/hyperlink" Target="https://hubs.ly/H0cJl5s0" TargetMode="External"/><Relationship Id="rId4" Type="http://schemas.openxmlformats.org/officeDocument/2006/relationships/settings" Target="settings.xml"/><Relationship Id="rId9" Type="http://schemas.openxmlformats.org/officeDocument/2006/relationships/hyperlink" Target="https://hubs.ly/H0cJlN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EE7A-1D45-4D75-8EFA-61A5187A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2951</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Widmar, Kristi L</dc:creator>
  <cp:lastModifiedBy>Amstein, Darla</cp:lastModifiedBy>
  <cp:revision>2</cp:revision>
  <dcterms:created xsi:type="dcterms:W3CDTF">2018-06-19T18:36:00Z</dcterms:created>
  <dcterms:modified xsi:type="dcterms:W3CDTF">2018-06-19T18:36:00Z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-181489635</vt:i4>
  </property>
</Properties>
</file>