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4E5CB" w14:textId="77777777" w:rsidR="00760051" w:rsidRDefault="00601687" w:rsidP="00601687">
      <w:pPr>
        <w:spacing w:after="0" w:line="240" w:lineRule="auto"/>
        <w:jc w:val="right"/>
      </w:pPr>
      <w:r>
        <w:t xml:space="preserve">     </w:t>
      </w:r>
      <w:r>
        <w:tab/>
      </w:r>
    </w:p>
    <w:p w14:paraId="7CE0A81C" w14:textId="77777777" w:rsidR="002D5536" w:rsidRDefault="00760051" w:rsidP="00760051">
      <w:pPr>
        <w:spacing w:after="0" w:line="240" w:lineRule="auto"/>
      </w:pPr>
      <w:r>
        <w:tab/>
      </w:r>
      <w:r>
        <w:tab/>
      </w:r>
      <w:r>
        <w:tab/>
      </w:r>
      <w:r>
        <w:tab/>
      </w:r>
      <w:r>
        <w:tab/>
        <w:t xml:space="preserve">  </w:t>
      </w:r>
    </w:p>
    <w:p w14:paraId="519E34AE" w14:textId="77777777" w:rsidR="00760051" w:rsidRDefault="00760051">
      <w:pPr>
        <w:rPr>
          <w:b/>
        </w:rPr>
      </w:pPr>
      <w:r w:rsidRPr="00562DAF">
        <w:rPr>
          <w:b/>
        </w:rPr>
        <w:t>FOR IMMEDIATE RELEASE</w:t>
      </w:r>
    </w:p>
    <w:p w14:paraId="3D57D073" w14:textId="77777777" w:rsidR="000C7712" w:rsidRPr="00562DAF" w:rsidRDefault="000C7712">
      <w:pPr>
        <w:rPr>
          <w:b/>
        </w:rPr>
      </w:pPr>
    </w:p>
    <w:p w14:paraId="5E542948" w14:textId="64E6D969" w:rsidR="005D1BF5" w:rsidRDefault="00AF3EBC" w:rsidP="00EF18FF">
      <w:pPr>
        <w:spacing w:after="0" w:line="240" w:lineRule="auto"/>
        <w:jc w:val="center"/>
        <w:rPr>
          <w:rFonts w:cs="Arial"/>
          <w:b/>
          <w:sz w:val="28"/>
          <w:szCs w:val="28"/>
        </w:rPr>
      </w:pPr>
      <w:bookmarkStart w:id="0" w:name="_Hlk517343137"/>
      <w:r>
        <w:rPr>
          <w:rFonts w:cs="Arial"/>
          <w:b/>
          <w:sz w:val="28"/>
          <w:szCs w:val="28"/>
        </w:rPr>
        <w:t xml:space="preserve">Burns &amp; McDonnell </w:t>
      </w:r>
      <w:r w:rsidR="006A1D15">
        <w:rPr>
          <w:rFonts w:cs="Arial"/>
          <w:b/>
          <w:sz w:val="28"/>
          <w:szCs w:val="28"/>
        </w:rPr>
        <w:t>Growth Reflected on</w:t>
      </w:r>
      <w:r w:rsidR="005D1BF5">
        <w:rPr>
          <w:rFonts w:cs="Arial"/>
          <w:b/>
          <w:sz w:val="28"/>
          <w:szCs w:val="28"/>
        </w:rPr>
        <w:t xml:space="preserve"> ENR Top 500 Ranking</w:t>
      </w:r>
      <w:r w:rsidR="006A1D15">
        <w:rPr>
          <w:rFonts w:cs="Arial"/>
          <w:b/>
          <w:sz w:val="28"/>
          <w:szCs w:val="28"/>
        </w:rPr>
        <w:t>s</w:t>
      </w:r>
    </w:p>
    <w:p w14:paraId="6CE4B26D" w14:textId="675CD721" w:rsidR="00883DC4" w:rsidRPr="005D1BF5" w:rsidRDefault="005D1BF5" w:rsidP="00EF18FF">
      <w:pPr>
        <w:spacing w:after="0" w:line="240" w:lineRule="auto"/>
        <w:jc w:val="center"/>
        <w:rPr>
          <w:rFonts w:cs="Arial"/>
          <w:b/>
          <w:i/>
          <w:sz w:val="28"/>
          <w:szCs w:val="28"/>
        </w:rPr>
      </w:pPr>
      <w:r w:rsidRPr="005D1BF5">
        <w:rPr>
          <w:rFonts w:cs="Arial"/>
          <w:b/>
          <w:i/>
          <w:sz w:val="28"/>
          <w:szCs w:val="28"/>
        </w:rPr>
        <w:t xml:space="preserve">Firm </w:t>
      </w:r>
      <w:r w:rsidR="006A1D15">
        <w:rPr>
          <w:rFonts w:cs="Arial"/>
          <w:b/>
          <w:i/>
          <w:sz w:val="28"/>
          <w:szCs w:val="28"/>
        </w:rPr>
        <w:t xml:space="preserve">Now Ranks in Top 10 in </w:t>
      </w:r>
      <w:r w:rsidR="00845E13">
        <w:rPr>
          <w:rFonts w:cs="Arial"/>
          <w:b/>
          <w:i/>
          <w:sz w:val="28"/>
          <w:szCs w:val="28"/>
        </w:rPr>
        <w:t>14</w:t>
      </w:r>
      <w:r w:rsidR="006A1D15">
        <w:rPr>
          <w:rFonts w:cs="Arial"/>
          <w:b/>
          <w:i/>
          <w:sz w:val="28"/>
          <w:szCs w:val="28"/>
        </w:rPr>
        <w:t xml:space="preserve"> Categories</w:t>
      </w:r>
      <w:r w:rsidR="002D5536" w:rsidRPr="005D1BF5">
        <w:rPr>
          <w:rFonts w:cs="Arial"/>
          <w:b/>
          <w:i/>
          <w:sz w:val="28"/>
          <w:szCs w:val="28"/>
        </w:rPr>
        <w:t xml:space="preserve"> </w:t>
      </w:r>
    </w:p>
    <w:p w14:paraId="738AF74E" w14:textId="77777777" w:rsidR="00EF18FF" w:rsidRPr="00883DC4" w:rsidRDefault="00EF18FF" w:rsidP="00EF18FF">
      <w:pPr>
        <w:spacing w:after="0" w:line="240" w:lineRule="auto"/>
        <w:jc w:val="center"/>
        <w:rPr>
          <w:rFonts w:cs="Arial"/>
          <w:b/>
          <w:sz w:val="28"/>
          <w:szCs w:val="28"/>
        </w:rPr>
      </w:pPr>
    </w:p>
    <w:p w14:paraId="4DE90FCE" w14:textId="644A11AF" w:rsidR="006A1D15" w:rsidRDefault="00EF5209" w:rsidP="00EF18FF">
      <w:pPr>
        <w:spacing w:after="240" w:line="360" w:lineRule="exact"/>
        <w:rPr>
          <w:rFonts w:cs="Arial"/>
        </w:rPr>
      </w:pPr>
      <w:r w:rsidRPr="00883DC4">
        <w:rPr>
          <w:rFonts w:cs="Arial"/>
        </w:rPr>
        <w:t>KANSAS CITY, M</w:t>
      </w:r>
      <w:r w:rsidR="00E125FC">
        <w:rPr>
          <w:rFonts w:cs="Arial"/>
        </w:rPr>
        <w:t>issouri</w:t>
      </w:r>
      <w:r w:rsidR="002626FF">
        <w:rPr>
          <w:rFonts w:cs="Arial"/>
        </w:rPr>
        <w:t xml:space="preserve"> </w:t>
      </w:r>
      <w:r w:rsidR="005F48C6">
        <w:rPr>
          <w:rFonts w:cs="Arial"/>
        </w:rPr>
        <w:t>—</w:t>
      </w:r>
      <w:r w:rsidR="00EF18FF" w:rsidRPr="00883DC4">
        <w:rPr>
          <w:rFonts w:cs="Arial"/>
        </w:rPr>
        <w:t xml:space="preserve"> </w:t>
      </w:r>
      <w:r w:rsidR="006A1D15">
        <w:rPr>
          <w:rFonts w:cs="Arial"/>
        </w:rPr>
        <w:t xml:space="preserve">Growth in </w:t>
      </w:r>
      <w:r w:rsidR="00C66BF9">
        <w:rPr>
          <w:rFonts w:cs="Arial"/>
        </w:rPr>
        <w:t>most of the industrial</w:t>
      </w:r>
      <w:r w:rsidR="006A1D15">
        <w:rPr>
          <w:rFonts w:cs="Arial"/>
        </w:rPr>
        <w:t xml:space="preserve"> sectors </w:t>
      </w:r>
      <w:r w:rsidR="00C66BF9">
        <w:rPr>
          <w:rFonts w:cs="Arial"/>
        </w:rPr>
        <w:t xml:space="preserve">served by Burns &amp; McDonnell </w:t>
      </w:r>
      <w:r w:rsidR="006A1D15">
        <w:rPr>
          <w:rFonts w:cs="Arial"/>
        </w:rPr>
        <w:t xml:space="preserve">has helped fuel a continued, broad-based climb </w:t>
      </w:r>
      <w:r w:rsidR="00C66BF9">
        <w:rPr>
          <w:rFonts w:cs="Arial"/>
        </w:rPr>
        <w:t>for the company’s business divisions</w:t>
      </w:r>
      <w:r w:rsidR="006A1D15">
        <w:rPr>
          <w:rFonts w:cs="Arial"/>
        </w:rPr>
        <w:t xml:space="preserve"> in the </w:t>
      </w:r>
      <w:r w:rsidR="006A1D15" w:rsidRPr="006D7520">
        <w:rPr>
          <w:rStyle w:val="Hyperlink"/>
          <w:rFonts w:cs="Arial"/>
          <w:color w:val="auto"/>
          <w:u w:val="none"/>
        </w:rPr>
        <w:t xml:space="preserve">2018 </w:t>
      </w:r>
      <w:r w:rsidR="006A1D15" w:rsidRPr="006D7520">
        <w:rPr>
          <w:rStyle w:val="Hyperlink"/>
          <w:rFonts w:cs="Arial"/>
          <w:i/>
          <w:color w:val="auto"/>
          <w:u w:val="none"/>
        </w:rPr>
        <w:t>Engineering News-Record</w:t>
      </w:r>
      <w:r w:rsidR="006A1D15" w:rsidRPr="006D7520">
        <w:rPr>
          <w:rStyle w:val="Hyperlink"/>
          <w:rFonts w:cs="Arial"/>
          <w:color w:val="auto"/>
          <w:u w:val="none"/>
        </w:rPr>
        <w:t xml:space="preserve"> (ENR) annual </w:t>
      </w:r>
      <w:r w:rsidR="00A1567F" w:rsidRPr="006D7520">
        <w:rPr>
          <w:rStyle w:val="Hyperlink"/>
          <w:rFonts w:cs="Arial"/>
          <w:color w:val="auto"/>
          <w:u w:val="none"/>
        </w:rPr>
        <w:t xml:space="preserve">sourcebook </w:t>
      </w:r>
      <w:r w:rsidR="006A1D15" w:rsidRPr="006D7520">
        <w:rPr>
          <w:rStyle w:val="Hyperlink"/>
          <w:rFonts w:cs="Arial"/>
          <w:color w:val="auto"/>
          <w:u w:val="none"/>
        </w:rPr>
        <w:t>ranking</w:t>
      </w:r>
      <w:r w:rsidR="006A1D15">
        <w:rPr>
          <w:rFonts w:cs="Arial"/>
        </w:rPr>
        <w:t xml:space="preserve"> of consulting engineering service</w:t>
      </w:r>
      <w:r w:rsidR="00C66BF9">
        <w:rPr>
          <w:rFonts w:cs="Arial"/>
        </w:rPr>
        <w:t>s</w:t>
      </w:r>
      <w:r w:rsidR="006A1D15">
        <w:rPr>
          <w:rFonts w:cs="Arial"/>
        </w:rPr>
        <w:t xml:space="preserve">. </w:t>
      </w:r>
    </w:p>
    <w:p w14:paraId="29F8C42C" w14:textId="1CF6DAE2" w:rsidR="00A1567F" w:rsidRDefault="006A1D15" w:rsidP="00EF18FF">
      <w:pPr>
        <w:spacing w:after="240" w:line="360" w:lineRule="exact"/>
        <w:rPr>
          <w:rFonts w:cs="Arial"/>
        </w:rPr>
      </w:pPr>
      <w:r>
        <w:rPr>
          <w:rFonts w:cs="Arial"/>
        </w:rPr>
        <w:t xml:space="preserve">In the </w:t>
      </w:r>
      <w:r w:rsidR="00A1567F">
        <w:rPr>
          <w:rFonts w:cs="Arial"/>
        </w:rPr>
        <w:t xml:space="preserve">widely watched </w:t>
      </w:r>
      <w:hyperlink r:id="rId8" w:history="1">
        <w:r w:rsidR="00BE0B9C" w:rsidRPr="00BE0B9C">
          <w:rPr>
            <w:rStyle w:val="Hyperlink"/>
            <w:rFonts w:cs="Arial"/>
          </w:rPr>
          <w:t>ENR ran</w:t>
        </w:r>
        <w:r w:rsidR="00BE0B9C" w:rsidRPr="00BE0B9C">
          <w:rPr>
            <w:rStyle w:val="Hyperlink"/>
            <w:rFonts w:cs="Arial"/>
          </w:rPr>
          <w:t>k</w:t>
        </w:r>
        <w:r w:rsidR="00BE0B9C" w:rsidRPr="00BE0B9C">
          <w:rPr>
            <w:rStyle w:val="Hyperlink"/>
            <w:rFonts w:cs="Arial"/>
          </w:rPr>
          <w:t>ings</w:t>
        </w:r>
      </w:hyperlink>
      <w:r>
        <w:rPr>
          <w:rFonts w:cs="Arial"/>
        </w:rPr>
        <w:t xml:space="preserve"> of </w:t>
      </w:r>
      <w:r w:rsidR="00A1567F">
        <w:rPr>
          <w:rFonts w:cs="Arial"/>
        </w:rPr>
        <w:t>more than</w:t>
      </w:r>
      <w:r>
        <w:rPr>
          <w:rFonts w:cs="Arial"/>
        </w:rPr>
        <w:t xml:space="preserve"> </w:t>
      </w:r>
      <w:r w:rsidR="00A1567F">
        <w:rPr>
          <w:rFonts w:cs="Arial"/>
        </w:rPr>
        <w:t>50 sectors served by engineering and architecture design firms</w:t>
      </w:r>
      <w:r>
        <w:rPr>
          <w:rFonts w:cs="Arial"/>
        </w:rPr>
        <w:t xml:space="preserve">, Burns &amp; McDonnell appeared </w:t>
      </w:r>
      <w:r w:rsidR="00A1567F">
        <w:rPr>
          <w:rFonts w:cs="Arial"/>
        </w:rPr>
        <w:t>among</w:t>
      </w:r>
      <w:r>
        <w:rPr>
          <w:rFonts w:cs="Arial"/>
        </w:rPr>
        <w:t xml:space="preserve"> the top </w:t>
      </w:r>
      <w:r w:rsidR="00845E13">
        <w:rPr>
          <w:rFonts w:cs="Arial"/>
        </w:rPr>
        <w:t>1</w:t>
      </w:r>
      <w:r>
        <w:rPr>
          <w:rFonts w:cs="Arial"/>
        </w:rPr>
        <w:t xml:space="preserve">0 </w:t>
      </w:r>
      <w:r w:rsidR="00A1567F">
        <w:rPr>
          <w:rFonts w:cs="Arial"/>
        </w:rPr>
        <w:t xml:space="preserve">firms </w:t>
      </w:r>
      <w:r>
        <w:rPr>
          <w:rFonts w:cs="Arial"/>
        </w:rPr>
        <w:t>in 1</w:t>
      </w:r>
      <w:r w:rsidR="00845E13">
        <w:rPr>
          <w:rFonts w:cs="Arial"/>
        </w:rPr>
        <w:t>4</w:t>
      </w:r>
      <w:r>
        <w:rPr>
          <w:rFonts w:cs="Arial"/>
        </w:rPr>
        <w:t xml:space="preserve"> categories and was in the top </w:t>
      </w:r>
      <w:r w:rsidR="00845E13">
        <w:rPr>
          <w:rFonts w:cs="Arial"/>
        </w:rPr>
        <w:t>2</w:t>
      </w:r>
      <w:r>
        <w:rPr>
          <w:rFonts w:cs="Arial"/>
        </w:rPr>
        <w:t>0 in 1</w:t>
      </w:r>
      <w:r w:rsidR="00845E13">
        <w:rPr>
          <w:rFonts w:cs="Arial"/>
        </w:rPr>
        <w:t>9</w:t>
      </w:r>
      <w:r>
        <w:rPr>
          <w:rFonts w:cs="Arial"/>
        </w:rPr>
        <w:t xml:space="preserve"> categories</w:t>
      </w:r>
      <w:r w:rsidR="004A71B0">
        <w:rPr>
          <w:rFonts w:cs="Arial"/>
        </w:rPr>
        <w:t xml:space="preserve">. </w:t>
      </w:r>
      <w:r w:rsidR="00980A96">
        <w:rPr>
          <w:rFonts w:cs="Arial"/>
        </w:rPr>
        <w:t xml:space="preserve">Burns &amp; McDonnell reported results in </w:t>
      </w:r>
      <w:r w:rsidR="00C66BF9">
        <w:rPr>
          <w:rFonts w:cs="Arial"/>
        </w:rPr>
        <w:t>31 of the industrial, commercial, retail and government sectors tracked by ENR.</w:t>
      </w:r>
    </w:p>
    <w:p w14:paraId="147F293A" w14:textId="5FAE7A26" w:rsidR="00A1567F" w:rsidRDefault="00491DFA" w:rsidP="00EF18FF">
      <w:pPr>
        <w:spacing w:after="240" w:line="360" w:lineRule="exact"/>
        <w:rPr>
          <w:rFonts w:cs="Arial"/>
        </w:rPr>
      </w:pPr>
      <w:r>
        <w:rPr>
          <w:rFonts w:cs="Arial"/>
        </w:rPr>
        <w:t xml:space="preserve">Burns &amp; McDonnell </w:t>
      </w:r>
      <w:r w:rsidR="00A1567F">
        <w:rPr>
          <w:rFonts w:cs="Arial"/>
        </w:rPr>
        <w:t xml:space="preserve">again ranked highly in nearly all the </w:t>
      </w:r>
      <w:hyperlink r:id="rId9" w:history="1">
        <w:r w:rsidR="00A1567F" w:rsidRPr="005812FF">
          <w:rPr>
            <w:rStyle w:val="Hyperlink"/>
            <w:rFonts w:cs="Arial"/>
          </w:rPr>
          <w:t>Power categories</w:t>
        </w:r>
      </w:hyperlink>
      <w:r w:rsidR="00A1567F">
        <w:rPr>
          <w:rFonts w:cs="Arial"/>
        </w:rPr>
        <w:t xml:space="preserve">, including a No. 1 ranking in electrical Transmission &amp; Distribution engineering, No. </w:t>
      </w:r>
      <w:r w:rsidR="00845E13">
        <w:rPr>
          <w:rFonts w:cs="Arial"/>
        </w:rPr>
        <w:t>3</w:t>
      </w:r>
      <w:r w:rsidR="00A1567F">
        <w:rPr>
          <w:rFonts w:cs="Arial"/>
        </w:rPr>
        <w:t xml:space="preserve"> in Fossil Fuel-based generation, No. </w:t>
      </w:r>
      <w:r w:rsidR="00845E13">
        <w:rPr>
          <w:rFonts w:cs="Arial"/>
        </w:rPr>
        <w:t>2</w:t>
      </w:r>
      <w:r w:rsidR="00A1567F">
        <w:rPr>
          <w:rFonts w:cs="Arial"/>
        </w:rPr>
        <w:t xml:space="preserve"> in Cogeneration plants, No. </w:t>
      </w:r>
      <w:r w:rsidR="00845E13">
        <w:rPr>
          <w:rFonts w:cs="Arial"/>
        </w:rPr>
        <w:t>5</w:t>
      </w:r>
      <w:r w:rsidR="00A1567F">
        <w:rPr>
          <w:rFonts w:cs="Arial"/>
        </w:rPr>
        <w:t xml:space="preserve"> in Wind power, No. </w:t>
      </w:r>
      <w:r w:rsidR="00242E16">
        <w:rPr>
          <w:rFonts w:cs="Arial"/>
        </w:rPr>
        <w:t>8</w:t>
      </w:r>
      <w:r w:rsidR="00A1567F">
        <w:rPr>
          <w:rFonts w:cs="Arial"/>
        </w:rPr>
        <w:t xml:space="preserve"> in Solar power and No. </w:t>
      </w:r>
      <w:r w:rsidR="00242E16">
        <w:rPr>
          <w:rFonts w:cs="Arial"/>
        </w:rPr>
        <w:t>9</w:t>
      </w:r>
      <w:r w:rsidR="00A1567F">
        <w:rPr>
          <w:rFonts w:cs="Arial"/>
        </w:rPr>
        <w:t xml:space="preserve"> in Nuclear power.</w:t>
      </w:r>
    </w:p>
    <w:p w14:paraId="59E69974" w14:textId="66C6E2D1" w:rsidR="005D1BF5" w:rsidRDefault="00081FB9" w:rsidP="00EF18FF">
      <w:pPr>
        <w:spacing w:after="240" w:line="360" w:lineRule="exact"/>
        <w:rPr>
          <w:rFonts w:cs="Arial"/>
        </w:rPr>
      </w:pPr>
      <w:r>
        <w:rPr>
          <w:rFonts w:cs="Arial"/>
        </w:rPr>
        <w:t xml:space="preserve">Burns &amp; McDonnell moved up in 12 category rankings, led by a move from 22 to 13 in the Pipeline engineering services category and a move from 14 to </w:t>
      </w:r>
      <w:r w:rsidR="00376EAD">
        <w:rPr>
          <w:rFonts w:cs="Arial"/>
        </w:rPr>
        <w:t>7</w:t>
      </w:r>
      <w:r>
        <w:rPr>
          <w:rFonts w:cs="Arial"/>
        </w:rPr>
        <w:t xml:space="preserve"> in the </w:t>
      </w:r>
      <w:hyperlink r:id="rId10" w:history="1">
        <w:r w:rsidRPr="00124962">
          <w:rPr>
            <w:rStyle w:val="Hyperlink"/>
            <w:rFonts w:cs="Arial"/>
          </w:rPr>
          <w:t>Water Treatment category</w:t>
        </w:r>
      </w:hyperlink>
      <w:r>
        <w:rPr>
          <w:rFonts w:cs="Arial"/>
        </w:rPr>
        <w:t xml:space="preserve">. </w:t>
      </w:r>
      <w:r w:rsidR="00A1567F">
        <w:rPr>
          <w:rFonts w:cs="Arial"/>
        </w:rPr>
        <w:t xml:space="preserve">In the overall ranking of Top 500 design firms released by ENR earlier this year, Burns &amp; McDonnell </w:t>
      </w:r>
      <w:r w:rsidR="00491DFA">
        <w:rPr>
          <w:rFonts w:cs="Arial"/>
        </w:rPr>
        <w:t xml:space="preserve">ranked No. </w:t>
      </w:r>
      <w:r w:rsidR="00871A6B">
        <w:rPr>
          <w:rFonts w:cs="Arial"/>
        </w:rPr>
        <w:t>9</w:t>
      </w:r>
      <w:r w:rsidR="00A1567F">
        <w:rPr>
          <w:rFonts w:cs="Arial"/>
        </w:rPr>
        <w:t xml:space="preserve">, up from No. 16 the previous year. </w:t>
      </w:r>
      <w:r w:rsidR="00871A6B">
        <w:rPr>
          <w:rFonts w:cs="Arial"/>
        </w:rPr>
        <w:t xml:space="preserve">It </w:t>
      </w:r>
      <w:r w:rsidR="00A1567F">
        <w:rPr>
          <w:rFonts w:cs="Arial"/>
        </w:rPr>
        <w:t>wa</w:t>
      </w:r>
      <w:r w:rsidR="00871A6B">
        <w:rPr>
          <w:rFonts w:cs="Arial"/>
        </w:rPr>
        <w:t>s the first time in the firm’s history it has finished in the top 10 on the ENR Top 500 ranking.</w:t>
      </w:r>
    </w:p>
    <w:p w14:paraId="34185CAE" w14:textId="504F6003" w:rsidR="00D04E3E" w:rsidRDefault="00EE1BEC" w:rsidP="00EF18FF">
      <w:pPr>
        <w:spacing w:after="240" w:line="360" w:lineRule="exact"/>
        <w:rPr>
          <w:rFonts w:cs="Arial"/>
        </w:rPr>
      </w:pPr>
      <w:r>
        <w:rPr>
          <w:rFonts w:cs="Arial"/>
        </w:rPr>
        <w:t>T</w:t>
      </w:r>
      <w:r w:rsidR="00491DFA">
        <w:rPr>
          <w:rFonts w:cs="Arial"/>
        </w:rPr>
        <w:t>he power sector remains strong for Burns &amp; McDonnell due to</w:t>
      </w:r>
      <w:r w:rsidR="00A1567F">
        <w:rPr>
          <w:rFonts w:cs="Arial"/>
        </w:rPr>
        <w:t xml:space="preserve"> a continued need to update aging power delivery infrastructure </w:t>
      </w:r>
      <w:r w:rsidR="00BF15A6">
        <w:rPr>
          <w:rFonts w:cs="Arial"/>
        </w:rPr>
        <w:t xml:space="preserve">as well as a continued transition of power generation assets toward </w:t>
      </w:r>
      <w:r w:rsidR="00491DFA">
        <w:rPr>
          <w:rFonts w:cs="Arial"/>
        </w:rPr>
        <w:t>renewable sources of energy and</w:t>
      </w:r>
      <w:r w:rsidR="00BF15A6">
        <w:rPr>
          <w:rFonts w:cs="Arial"/>
        </w:rPr>
        <w:t xml:space="preserve"> modular, fast-start power plants that are typically fueled with natural gas.</w:t>
      </w:r>
    </w:p>
    <w:p w14:paraId="7E387D71" w14:textId="77777777" w:rsidR="00DE23FD" w:rsidRDefault="00DE23FD" w:rsidP="00DE23FD">
      <w:pPr>
        <w:spacing w:after="240" w:line="360" w:lineRule="exact"/>
      </w:pPr>
      <w:bookmarkStart w:id="1" w:name="_Hlk517342960"/>
      <w:r w:rsidRPr="00D10A70">
        <w:t xml:space="preserve">“There are a few key trends driving growth across all the sectors we serve,” says Burns &amp; McDonnell Chairman and CEO Ray Kowalik. “A strong economy and low energy prices are at the top of the list. Another key trend is the need for greater resiliency in the essential infrastructure our country depends on. Catastrophic storms, cybersecurity threats and the aging of our infrastructure along with heavier use </w:t>
      </w:r>
      <w:r w:rsidRPr="00D10A70">
        <w:lastRenderedPageBreak/>
        <w:t>of that infrastructure are increasing the need for capital investment. Another trend is Owner’s wanting more schedule and budget certainty, which benefit firms like ours that specialize in successful design-build and engineer-procure-construct project delivery.”</w:t>
      </w:r>
    </w:p>
    <w:bookmarkEnd w:id="0"/>
    <w:bookmarkEnd w:id="1"/>
    <w:p w14:paraId="4CA47C60" w14:textId="33F0939A" w:rsidR="00E778D9" w:rsidRDefault="000D52F1" w:rsidP="00EF18FF">
      <w:pPr>
        <w:spacing w:after="240" w:line="360" w:lineRule="exact"/>
        <w:rPr>
          <w:rFonts w:cs="Arial"/>
        </w:rPr>
      </w:pPr>
      <w:r>
        <w:rPr>
          <w:rFonts w:cs="Arial"/>
        </w:rPr>
        <w:fldChar w:fldCharType="begin"/>
      </w:r>
      <w:r>
        <w:rPr>
          <w:rFonts w:cs="Arial"/>
        </w:rPr>
        <w:instrText xml:space="preserve"> HYPERLINK "https://hubs.ly/H0cLD7w0" </w:instrText>
      </w:r>
      <w:r>
        <w:rPr>
          <w:rFonts w:cs="Arial"/>
        </w:rPr>
      </w:r>
      <w:r>
        <w:rPr>
          <w:rFonts w:cs="Arial"/>
        </w:rPr>
        <w:fldChar w:fldCharType="separate"/>
      </w:r>
      <w:r w:rsidR="002B3162" w:rsidRPr="000D52F1">
        <w:rPr>
          <w:rStyle w:val="Hyperlink"/>
          <w:rFonts w:cs="Arial"/>
        </w:rPr>
        <w:t xml:space="preserve">In addition to the </w:t>
      </w:r>
      <w:r w:rsidR="001F55BB" w:rsidRPr="000D52F1">
        <w:rPr>
          <w:rStyle w:val="Hyperlink"/>
          <w:rFonts w:cs="Arial"/>
        </w:rPr>
        <w:t>Power ranking</w:t>
      </w:r>
      <w:r w:rsidR="00242E16" w:rsidRPr="000D52F1">
        <w:rPr>
          <w:rStyle w:val="Hyperlink"/>
          <w:rFonts w:cs="Arial"/>
        </w:rPr>
        <w:t>s</w:t>
      </w:r>
      <w:r>
        <w:rPr>
          <w:rFonts w:cs="Arial"/>
        </w:rPr>
        <w:fldChar w:fldCharType="end"/>
      </w:r>
      <w:r w:rsidR="002B3162">
        <w:rPr>
          <w:rFonts w:cs="Arial"/>
        </w:rPr>
        <w:t xml:space="preserve">, Burns &amp; McDonnell </w:t>
      </w:r>
      <w:r w:rsidR="00242E16">
        <w:rPr>
          <w:rFonts w:cs="Arial"/>
        </w:rPr>
        <w:t>ranked among</w:t>
      </w:r>
      <w:r w:rsidR="007742FE">
        <w:rPr>
          <w:rFonts w:cs="Arial"/>
        </w:rPr>
        <w:t xml:space="preserve"> the top 20 </w:t>
      </w:r>
      <w:r w:rsidR="001F55BB">
        <w:rPr>
          <w:rFonts w:cs="Arial"/>
        </w:rPr>
        <w:t xml:space="preserve">in </w:t>
      </w:r>
      <w:r w:rsidR="00394776">
        <w:rPr>
          <w:rFonts w:cs="Arial"/>
        </w:rPr>
        <w:t xml:space="preserve">these </w:t>
      </w:r>
      <w:r w:rsidR="001F55BB">
        <w:rPr>
          <w:rFonts w:cs="Arial"/>
        </w:rPr>
        <w:t>categories</w:t>
      </w:r>
      <w:r w:rsidR="00211264">
        <w:rPr>
          <w:rFonts w:cs="Arial"/>
        </w:rPr>
        <w:t>:</w:t>
      </w:r>
    </w:p>
    <w:p w14:paraId="7A812039" w14:textId="67A117D4" w:rsidR="00242E16" w:rsidRDefault="00242E16" w:rsidP="00394776">
      <w:pPr>
        <w:pStyle w:val="ListParagraph"/>
        <w:numPr>
          <w:ilvl w:val="0"/>
          <w:numId w:val="2"/>
        </w:numPr>
        <w:spacing w:after="240" w:line="360" w:lineRule="exact"/>
        <w:rPr>
          <w:rFonts w:cs="Arial"/>
        </w:rPr>
      </w:pPr>
      <w:r>
        <w:rPr>
          <w:rFonts w:cs="Arial"/>
        </w:rPr>
        <w:t>No. 3 in Aerospace</w:t>
      </w:r>
    </w:p>
    <w:p w14:paraId="223F184F" w14:textId="77777777" w:rsidR="00242E16" w:rsidRDefault="00242E16" w:rsidP="00242E16">
      <w:pPr>
        <w:pStyle w:val="ListParagraph"/>
        <w:numPr>
          <w:ilvl w:val="0"/>
          <w:numId w:val="2"/>
        </w:numPr>
        <w:spacing w:after="240" w:line="360" w:lineRule="exact"/>
        <w:rPr>
          <w:rFonts w:cs="Arial"/>
        </w:rPr>
      </w:pPr>
      <w:r>
        <w:rPr>
          <w:rFonts w:cs="Arial"/>
        </w:rPr>
        <w:t>No. 4 in Airports</w:t>
      </w:r>
    </w:p>
    <w:p w14:paraId="7D282DC6" w14:textId="262F6895" w:rsidR="00394776" w:rsidRDefault="00394776" w:rsidP="00394776">
      <w:pPr>
        <w:pStyle w:val="ListParagraph"/>
        <w:numPr>
          <w:ilvl w:val="0"/>
          <w:numId w:val="2"/>
        </w:numPr>
        <w:spacing w:after="240" w:line="360" w:lineRule="exact"/>
        <w:rPr>
          <w:rFonts w:cs="Arial"/>
        </w:rPr>
      </w:pPr>
      <w:r>
        <w:rPr>
          <w:rFonts w:cs="Arial"/>
        </w:rPr>
        <w:t xml:space="preserve">No. </w:t>
      </w:r>
      <w:r w:rsidR="00242E16">
        <w:rPr>
          <w:rFonts w:cs="Arial"/>
        </w:rPr>
        <w:t>5</w:t>
      </w:r>
      <w:r>
        <w:rPr>
          <w:rFonts w:cs="Arial"/>
        </w:rPr>
        <w:t xml:space="preserve"> in </w:t>
      </w:r>
      <w:r w:rsidR="00242E16">
        <w:rPr>
          <w:rFonts w:cs="Arial"/>
        </w:rPr>
        <w:t>Government</w:t>
      </w:r>
    </w:p>
    <w:p w14:paraId="03CBD05C" w14:textId="35024501" w:rsidR="00242E16" w:rsidRDefault="00242E16" w:rsidP="00394776">
      <w:pPr>
        <w:pStyle w:val="ListParagraph"/>
        <w:numPr>
          <w:ilvl w:val="0"/>
          <w:numId w:val="2"/>
        </w:numPr>
        <w:spacing w:after="240" w:line="360" w:lineRule="exact"/>
        <w:rPr>
          <w:rFonts w:cs="Arial"/>
        </w:rPr>
      </w:pPr>
      <w:r>
        <w:rPr>
          <w:rFonts w:cs="Arial"/>
        </w:rPr>
        <w:t>No. 5 in Transmission Cables</w:t>
      </w:r>
    </w:p>
    <w:p w14:paraId="1191929A" w14:textId="19DA367C" w:rsidR="00242E16" w:rsidRDefault="00242E16" w:rsidP="002B3162">
      <w:pPr>
        <w:pStyle w:val="ListParagraph"/>
        <w:numPr>
          <w:ilvl w:val="0"/>
          <w:numId w:val="2"/>
        </w:numPr>
        <w:spacing w:after="240" w:line="360" w:lineRule="exact"/>
        <w:rPr>
          <w:rFonts w:cs="Arial"/>
        </w:rPr>
      </w:pPr>
      <w:r>
        <w:rPr>
          <w:rFonts w:cs="Arial"/>
        </w:rPr>
        <w:t>No. 6 in Food and Beverage</w:t>
      </w:r>
    </w:p>
    <w:p w14:paraId="3589AA92" w14:textId="4A8DA28F" w:rsidR="00B73889" w:rsidRDefault="00B73889" w:rsidP="002B3162">
      <w:pPr>
        <w:pStyle w:val="ListParagraph"/>
        <w:numPr>
          <w:ilvl w:val="0"/>
          <w:numId w:val="2"/>
        </w:numPr>
        <w:spacing w:after="240" w:line="360" w:lineRule="exact"/>
        <w:rPr>
          <w:rFonts w:cs="Arial"/>
        </w:rPr>
      </w:pPr>
      <w:r>
        <w:rPr>
          <w:rFonts w:cs="Arial"/>
        </w:rPr>
        <w:t xml:space="preserve">No. </w:t>
      </w:r>
      <w:r w:rsidR="00242E16">
        <w:rPr>
          <w:rFonts w:cs="Arial"/>
        </w:rPr>
        <w:t>7</w:t>
      </w:r>
      <w:r>
        <w:rPr>
          <w:rFonts w:cs="Arial"/>
        </w:rPr>
        <w:t xml:space="preserve"> in </w:t>
      </w:r>
      <w:r w:rsidR="00242E16">
        <w:rPr>
          <w:rFonts w:cs="Arial"/>
        </w:rPr>
        <w:t>Refineries</w:t>
      </w:r>
    </w:p>
    <w:p w14:paraId="79147A7F" w14:textId="5384D367" w:rsidR="00242E16" w:rsidRDefault="00242E16" w:rsidP="00242E16">
      <w:pPr>
        <w:pStyle w:val="ListParagraph"/>
        <w:numPr>
          <w:ilvl w:val="0"/>
          <w:numId w:val="2"/>
        </w:numPr>
        <w:spacing w:after="240" w:line="360" w:lineRule="exact"/>
        <w:rPr>
          <w:rFonts w:cs="Arial"/>
        </w:rPr>
      </w:pPr>
      <w:r>
        <w:rPr>
          <w:rFonts w:cs="Arial"/>
        </w:rPr>
        <w:t xml:space="preserve">No. </w:t>
      </w:r>
      <w:r w:rsidR="005812FF">
        <w:rPr>
          <w:rFonts w:cs="Arial"/>
        </w:rPr>
        <w:t xml:space="preserve">7 </w:t>
      </w:r>
      <w:r>
        <w:rPr>
          <w:rFonts w:cs="Arial"/>
        </w:rPr>
        <w:t>in Water Treatment</w:t>
      </w:r>
    </w:p>
    <w:p w14:paraId="091939C9" w14:textId="4E7B5A9A" w:rsidR="00242E16" w:rsidRDefault="00242E16" w:rsidP="002B3162">
      <w:pPr>
        <w:pStyle w:val="ListParagraph"/>
        <w:numPr>
          <w:ilvl w:val="0"/>
          <w:numId w:val="2"/>
        </w:numPr>
        <w:spacing w:after="240" w:line="360" w:lineRule="exact"/>
        <w:rPr>
          <w:rFonts w:cs="Arial"/>
        </w:rPr>
      </w:pPr>
      <w:r>
        <w:rPr>
          <w:rFonts w:cs="Arial"/>
        </w:rPr>
        <w:t>No. 10 in Environmental Site Assessment and Compliance</w:t>
      </w:r>
    </w:p>
    <w:p w14:paraId="199C19AC" w14:textId="636900E5" w:rsidR="00242E16" w:rsidRDefault="00242E16" w:rsidP="002B3162">
      <w:pPr>
        <w:pStyle w:val="ListParagraph"/>
        <w:numPr>
          <w:ilvl w:val="0"/>
          <w:numId w:val="2"/>
        </w:numPr>
        <w:spacing w:after="240" w:line="360" w:lineRule="exact"/>
        <w:rPr>
          <w:rFonts w:cs="Arial"/>
        </w:rPr>
      </w:pPr>
      <w:r>
        <w:rPr>
          <w:rFonts w:cs="Arial"/>
        </w:rPr>
        <w:t>No. 11 in Wastewater Treatment</w:t>
      </w:r>
    </w:p>
    <w:p w14:paraId="6CA246E2" w14:textId="77777777" w:rsidR="00242E16" w:rsidRDefault="00242E16" w:rsidP="00242E16">
      <w:pPr>
        <w:pStyle w:val="ListParagraph"/>
        <w:numPr>
          <w:ilvl w:val="0"/>
          <w:numId w:val="2"/>
        </w:numPr>
        <w:spacing w:after="240" w:line="360" w:lineRule="exact"/>
        <w:rPr>
          <w:rFonts w:cs="Arial"/>
        </w:rPr>
      </w:pPr>
      <w:r>
        <w:rPr>
          <w:rFonts w:cs="Arial"/>
        </w:rPr>
        <w:t>No. 13 in Pipelines</w:t>
      </w:r>
    </w:p>
    <w:p w14:paraId="4E5446D4" w14:textId="6DBDD208" w:rsidR="00242E16" w:rsidRDefault="00242E16" w:rsidP="002B3162">
      <w:pPr>
        <w:pStyle w:val="ListParagraph"/>
        <w:numPr>
          <w:ilvl w:val="0"/>
          <w:numId w:val="2"/>
        </w:numPr>
        <w:spacing w:after="240" w:line="360" w:lineRule="exact"/>
        <w:rPr>
          <w:rFonts w:cs="Arial"/>
        </w:rPr>
      </w:pPr>
      <w:r>
        <w:rPr>
          <w:rFonts w:cs="Arial"/>
        </w:rPr>
        <w:t>No. 13 in Chemical Plants</w:t>
      </w:r>
    </w:p>
    <w:p w14:paraId="42020B54" w14:textId="77777777" w:rsidR="00242E16" w:rsidRDefault="00242E16" w:rsidP="00242E16">
      <w:pPr>
        <w:pStyle w:val="ListParagraph"/>
        <w:numPr>
          <w:ilvl w:val="0"/>
          <w:numId w:val="2"/>
        </w:numPr>
        <w:spacing w:after="240" w:line="360" w:lineRule="exact"/>
        <w:rPr>
          <w:rFonts w:cs="Arial"/>
        </w:rPr>
      </w:pPr>
      <w:r>
        <w:rPr>
          <w:rFonts w:cs="Arial"/>
        </w:rPr>
        <w:t>No. 15 in Chemical and Soil Remediation</w:t>
      </w:r>
    </w:p>
    <w:p w14:paraId="7D8CB8DE" w14:textId="4A570010" w:rsidR="00242E16" w:rsidRDefault="00242E16" w:rsidP="002B3162">
      <w:pPr>
        <w:pStyle w:val="ListParagraph"/>
        <w:numPr>
          <w:ilvl w:val="0"/>
          <w:numId w:val="2"/>
        </w:numPr>
        <w:spacing w:after="240" w:line="360" w:lineRule="exact"/>
        <w:rPr>
          <w:rFonts w:cs="Arial"/>
        </w:rPr>
      </w:pPr>
      <w:r>
        <w:rPr>
          <w:rFonts w:cs="Arial"/>
        </w:rPr>
        <w:t>No. 20 in Sanitary and Storm Sewers</w:t>
      </w:r>
    </w:p>
    <w:p w14:paraId="7A2DEB6B" w14:textId="77777777" w:rsidR="00EF18FF" w:rsidRPr="00883DC4" w:rsidRDefault="00EF18FF" w:rsidP="00EF18FF">
      <w:pPr>
        <w:jc w:val="center"/>
        <w:rPr>
          <w:rFonts w:cs="Arial"/>
          <w:b/>
        </w:rPr>
      </w:pPr>
      <w:bookmarkStart w:id="2" w:name="_GoBack"/>
      <w:bookmarkEnd w:id="2"/>
      <w:r w:rsidRPr="00883DC4">
        <w:rPr>
          <w:rFonts w:cs="Arial"/>
          <w:b/>
        </w:rPr>
        <w:t>###</w:t>
      </w:r>
    </w:p>
    <w:p w14:paraId="261865E2" w14:textId="77777777" w:rsidR="00D841FA" w:rsidRPr="00EB34AD" w:rsidRDefault="00D841FA" w:rsidP="00D841FA">
      <w:pPr>
        <w:spacing w:line="240" w:lineRule="auto"/>
        <w:rPr>
          <w:rFonts w:cs="Times New Roman"/>
          <w:b/>
          <w:sz w:val="20"/>
          <w:szCs w:val="20"/>
        </w:rPr>
      </w:pPr>
      <w:r w:rsidRPr="00EB34AD">
        <w:rPr>
          <w:rFonts w:cs="Times New Roman"/>
          <w:b/>
          <w:sz w:val="20"/>
          <w:szCs w:val="20"/>
        </w:rPr>
        <w:t>About Burns &amp; McDonnell</w:t>
      </w:r>
    </w:p>
    <w:p w14:paraId="2DB8E902" w14:textId="2265495C" w:rsidR="00D841FA" w:rsidRPr="000D52F1" w:rsidRDefault="00D841FA" w:rsidP="000D52F1">
      <w:pPr>
        <w:spacing w:after="0" w:line="240" w:lineRule="auto"/>
        <w:rPr>
          <w:sz w:val="20"/>
          <w:szCs w:val="20"/>
        </w:rPr>
      </w:pPr>
      <w:r w:rsidRPr="00EB34AD">
        <w:rPr>
          <w:sz w:val="20"/>
          <w:szCs w:val="20"/>
        </w:rPr>
        <w:t xml:space="preserve">Burns &amp; McDonnell is a family of companies made up of more than </w:t>
      </w:r>
      <w:r>
        <w:rPr>
          <w:sz w:val="20"/>
          <w:szCs w:val="20"/>
        </w:rPr>
        <w:t>6</w:t>
      </w:r>
      <w:r w:rsidRPr="00EB34AD">
        <w:rPr>
          <w:sz w:val="20"/>
          <w:szCs w:val="20"/>
        </w:rPr>
        <w:t>,</w:t>
      </w:r>
      <w:r>
        <w:rPr>
          <w:sz w:val="20"/>
          <w:szCs w:val="20"/>
        </w:rPr>
        <w:t>000</w:t>
      </w:r>
      <w:r w:rsidRPr="00EB34AD">
        <w:rPr>
          <w:sz w:val="20"/>
          <w:szCs w:val="20"/>
        </w:rPr>
        <w:t xml:space="preserve"> engineers, architects, construction professionals, scientists, consultants and entrepreneurs with offices across the country and throughout the world. We strive to create amazing success for our clients and amazing careers for our employee-owners. Burns &amp; McDonnell is 100 percent employee-owned and is proud to be on </w:t>
      </w:r>
      <w:r w:rsidRPr="00EB34AD">
        <w:rPr>
          <w:i/>
          <w:sz w:val="20"/>
          <w:szCs w:val="20"/>
        </w:rPr>
        <w:t xml:space="preserve">Fortune’s </w:t>
      </w:r>
      <w:r w:rsidRPr="00EB34AD">
        <w:rPr>
          <w:sz w:val="20"/>
          <w:szCs w:val="20"/>
        </w:rPr>
        <w:t>201</w:t>
      </w:r>
      <w:r>
        <w:rPr>
          <w:sz w:val="20"/>
          <w:szCs w:val="20"/>
        </w:rPr>
        <w:t>8</w:t>
      </w:r>
      <w:r w:rsidRPr="00EB34AD">
        <w:rPr>
          <w:sz w:val="20"/>
          <w:szCs w:val="20"/>
        </w:rPr>
        <w:t xml:space="preserve"> list of</w:t>
      </w:r>
      <w:r w:rsidRPr="00EB34AD">
        <w:rPr>
          <w:i/>
          <w:sz w:val="20"/>
          <w:szCs w:val="20"/>
        </w:rPr>
        <w:t xml:space="preserve"> </w:t>
      </w:r>
      <w:r w:rsidRPr="00EB34AD">
        <w:rPr>
          <w:sz w:val="20"/>
          <w:szCs w:val="20"/>
        </w:rPr>
        <w:t>100 Best Companies to Work For</w:t>
      </w:r>
      <w:r w:rsidRPr="00EB34AD">
        <w:rPr>
          <w:i/>
          <w:sz w:val="20"/>
          <w:szCs w:val="20"/>
        </w:rPr>
        <w:t xml:space="preserve">. </w:t>
      </w:r>
      <w:r w:rsidRPr="00EB34AD">
        <w:rPr>
          <w:sz w:val="20"/>
          <w:szCs w:val="20"/>
        </w:rPr>
        <w:t>For more information, visit </w:t>
      </w:r>
      <w:hyperlink r:id="rId11" w:history="1">
        <w:r w:rsidRPr="00EB34AD">
          <w:rPr>
            <w:color w:val="0000FF" w:themeColor="hyperlink"/>
            <w:sz w:val="20"/>
            <w:szCs w:val="20"/>
            <w:u w:val="single"/>
          </w:rPr>
          <w:t>burnsmcd.com</w:t>
        </w:r>
      </w:hyperlink>
      <w:r w:rsidRPr="00EB34AD">
        <w:rPr>
          <w:sz w:val="20"/>
          <w:szCs w:val="20"/>
        </w:rPr>
        <w:t>.</w:t>
      </w:r>
    </w:p>
    <w:sectPr w:rsidR="00D841FA" w:rsidRPr="000D52F1" w:rsidSect="00601687">
      <w:head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68D2" w14:textId="77777777" w:rsidR="00D57F97" w:rsidRDefault="00D57F97" w:rsidP="0063643E">
      <w:pPr>
        <w:spacing w:after="0" w:line="240" w:lineRule="auto"/>
      </w:pPr>
      <w:r>
        <w:separator/>
      </w:r>
    </w:p>
  </w:endnote>
  <w:endnote w:type="continuationSeparator" w:id="0">
    <w:p w14:paraId="2B1A0F45" w14:textId="77777777" w:rsidR="00D57F97" w:rsidRDefault="00D57F97" w:rsidP="0063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Janson Text">
    <w:altName w:val="Jan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3960" w14:textId="77777777" w:rsidR="00D57F97" w:rsidRDefault="00D57F97" w:rsidP="0063643E">
      <w:pPr>
        <w:spacing w:after="0" w:line="240" w:lineRule="auto"/>
      </w:pPr>
      <w:r>
        <w:separator/>
      </w:r>
    </w:p>
  </w:footnote>
  <w:footnote w:type="continuationSeparator" w:id="0">
    <w:p w14:paraId="4F9B4A85" w14:textId="77777777" w:rsidR="00D57F97" w:rsidRDefault="00D57F97" w:rsidP="0063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BB64" w14:textId="12BDB620" w:rsidR="002D5536" w:rsidRDefault="002D5536" w:rsidP="00601687">
    <w:pPr>
      <w:spacing w:after="0" w:line="240" w:lineRule="auto"/>
      <w:jc w:val="right"/>
    </w:pPr>
    <w:r>
      <w:rPr>
        <w:noProof/>
      </w:rPr>
      <w:drawing>
        <wp:anchor distT="0" distB="0" distL="114300" distR="114300" simplePos="0" relativeHeight="251659264" behindDoc="0" locked="0" layoutInCell="1" allowOverlap="1" wp14:anchorId="37599B2D" wp14:editId="03A2D49C">
          <wp:simplePos x="0" y="0"/>
          <wp:positionH relativeFrom="column">
            <wp:posOffset>-1270</wp:posOffset>
          </wp:positionH>
          <wp:positionV relativeFrom="paragraph">
            <wp:posOffset>-47625</wp:posOffset>
          </wp:positionV>
          <wp:extent cx="2536190"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s&amp;McDonnell_Horiz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190" cy="381000"/>
                  </a:xfrm>
                  <a:prstGeom prst="rect">
                    <a:avLst/>
                  </a:prstGeom>
                </pic:spPr>
              </pic:pic>
            </a:graphicData>
          </a:graphic>
          <wp14:sizeRelH relativeFrom="page">
            <wp14:pctWidth>0</wp14:pctWidth>
          </wp14:sizeRelH>
          <wp14:sizeRelV relativeFrom="page">
            <wp14:pctHeight>0</wp14:pctHeight>
          </wp14:sizeRelV>
        </wp:anchor>
      </w:drawing>
    </w:r>
    <w:r>
      <w:t xml:space="preserve">Contact:  </w:t>
    </w:r>
    <w:r w:rsidR="0018629B">
      <w:t>Roger Dick</w:t>
    </w:r>
    <w:r>
      <w:t>, Burns &amp; McDonnell</w:t>
    </w:r>
  </w:p>
  <w:p w14:paraId="3B62B343" w14:textId="69928610" w:rsidR="002D5536" w:rsidRDefault="002D5536" w:rsidP="00601687">
    <w:pPr>
      <w:spacing w:after="0" w:line="240" w:lineRule="auto"/>
      <w:jc w:val="right"/>
    </w:pPr>
    <w:r>
      <w:tab/>
    </w:r>
    <w:r>
      <w:tab/>
    </w:r>
    <w:r>
      <w:tab/>
    </w:r>
    <w:r>
      <w:tab/>
      <w:t>816-</w:t>
    </w:r>
    <w:r w:rsidR="0018629B">
      <w:t>822-3339</w:t>
    </w:r>
    <w:r>
      <w:t xml:space="preserve">   </w:t>
    </w:r>
  </w:p>
  <w:p w14:paraId="5483D333" w14:textId="42DDC46F" w:rsidR="002D5536" w:rsidRDefault="002D5536" w:rsidP="00601687">
    <w:pPr>
      <w:spacing w:after="0" w:line="240" w:lineRule="auto"/>
      <w:ind w:left="2160" w:firstLine="720"/>
      <w:jc w:val="right"/>
    </w:pPr>
    <w:r>
      <w:t xml:space="preserve">                                              </w:t>
    </w:r>
    <w:r w:rsidR="0018629B">
      <w:t>RDick</w:t>
    </w:r>
    <w:r>
      <w:t>@burnsmcd.com</w:t>
    </w:r>
  </w:p>
  <w:p w14:paraId="604A3EC4" w14:textId="77777777" w:rsidR="002D5536" w:rsidRDefault="002D5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042"/>
    <w:multiLevelType w:val="hybridMultilevel"/>
    <w:tmpl w:val="3DB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E6DEE"/>
    <w:multiLevelType w:val="hybridMultilevel"/>
    <w:tmpl w:val="3B7A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95446"/>
    <w:multiLevelType w:val="hybridMultilevel"/>
    <w:tmpl w:val="92F2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624A7"/>
    <w:multiLevelType w:val="hybridMultilevel"/>
    <w:tmpl w:val="B4B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901AF"/>
    <w:multiLevelType w:val="hybridMultilevel"/>
    <w:tmpl w:val="7C24DA08"/>
    <w:lvl w:ilvl="0" w:tplc="04090005">
      <w:start w:val="1"/>
      <w:numFmt w:val="bullet"/>
      <w:lvlText w:val=""/>
      <w:lvlJc w:val="left"/>
      <w:pPr>
        <w:ind w:left="720" w:hanging="360"/>
      </w:pPr>
      <w:rPr>
        <w:rFonts w:ascii="Wingdings" w:hAnsi="Wingdings" w:hint="default"/>
      </w:rPr>
    </w:lvl>
    <w:lvl w:ilvl="1" w:tplc="264C79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61"/>
    <w:rsid w:val="00001F62"/>
    <w:rsid w:val="00003C4E"/>
    <w:rsid w:val="000224F9"/>
    <w:rsid w:val="00040C6C"/>
    <w:rsid w:val="00041384"/>
    <w:rsid w:val="00041836"/>
    <w:rsid w:val="00042F98"/>
    <w:rsid w:val="00074E81"/>
    <w:rsid w:val="00080BEB"/>
    <w:rsid w:val="000810D9"/>
    <w:rsid w:val="00081FB9"/>
    <w:rsid w:val="00096E82"/>
    <w:rsid w:val="000B4447"/>
    <w:rsid w:val="000C7246"/>
    <w:rsid w:val="000C7712"/>
    <w:rsid w:val="000D52F1"/>
    <w:rsid w:val="000D72A5"/>
    <w:rsid w:val="0010517A"/>
    <w:rsid w:val="00124962"/>
    <w:rsid w:val="00134FAD"/>
    <w:rsid w:val="0015411A"/>
    <w:rsid w:val="001647BF"/>
    <w:rsid w:val="001826BD"/>
    <w:rsid w:val="001827D3"/>
    <w:rsid w:val="0018629B"/>
    <w:rsid w:val="001976CA"/>
    <w:rsid w:val="001B3945"/>
    <w:rsid w:val="001C2B39"/>
    <w:rsid w:val="001F4579"/>
    <w:rsid w:val="001F55BB"/>
    <w:rsid w:val="00211264"/>
    <w:rsid w:val="00217557"/>
    <w:rsid w:val="00242E16"/>
    <w:rsid w:val="002626FF"/>
    <w:rsid w:val="002655F7"/>
    <w:rsid w:val="002706A2"/>
    <w:rsid w:val="002A3454"/>
    <w:rsid w:val="002A519B"/>
    <w:rsid w:val="002B3162"/>
    <w:rsid w:val="002D5536"/>
    <w:rsid w:val="003035AB"/>
    <w:rsid w:val="00320DED"/>
    <w:rsid w:val="003353BF"/>
    <w:rsid w:val="00341011"/>
    <w:rsid w:val="00354BD4"/>
    <w:rsid w:val="0035702C"/>
    <w:rsid w:val="0036535D"/>
    <w:rsid w:val="00365C6F"/>
    <w:rsid w:val="00365E3D"/>
    <w:rsid w:val="00376EAD"/>
    <w:rsid w:val="00394776"/>
    <w:rsid w:val="003D5B86"/>
    <w:rsid w:val="004131E6"/>
    <w:rsid w:val="0044649B"/>
    <w:rsid w:val="00491DFA"/>
    <w:rsid w:val="004963EF"/>
    <w:rsid w:val="004A71B0"/>
    <w:rsid w:val="004C290C"/>
    <w:rsid w:val="004E63E3"/>
    <w:rsid w:val="004E6636"/>
    <w:rsid w:val="004F0E22"/>
    <w:rsid w:val="004F1D3E"/>
    <w:rsid w:val="004F68C1"/>
    <w:rsid w:val="00511705"/>
    <w:rsid w:val="00521B27"/>
    <w:rsid w:val="00526917"/>
    <w:rsid w:val="00532BE0"/>
    <w:rsid w:val="00536739"/>
    <w:rsid w:val="00562260"/>
    <w:rsid w:val="00562DAF"/>
    <w:rsid w:val="005661F1"/>
    <w:rsid w:val="005812FF"/>
    <w:rsid w:val="00585B50"/>
    <w:rsid w:val="00587E4A"/>
    <w:rsid w:val="005A4645"/>
    <w:rsid w:val="005A613C"/>
    <w:rsid w:val="005B2852"/>
    <w:rsid w:val="005B2D1F"/>
    <w:rsid w:val="005D1BF5"/>
    <w:rsid w:val="005D7969"/>
    <w:rsid w:val="005F3648"/>
    <w:rsid w:val="005F48C6"/>
    <w:rsid w:val="005F4E37"/>
    <w:rsid w:val="00601687"/>
    <w:rsid w:val="00631286"/>
    <w:rsid w:val="00632CCA"/>
    <w:rsid w:val="006351E3"/>
    <w:rsid w:val="0063643E"/>
    <w:rsid w:val="006538AB"/>
    <w:rsid w:val="006729A2"/>
    <w:rsid w:val="00673699"/>
    <w:rsid w:val="006914E9"/>
    <w:rsid w:val="006967C0"/>
    <w:rsid w:val="006A1D15"/>
    <w:rsid w:val="006B5E72"/>
    <w:rsid w:val="006D7520"/>
    <w:rsid w:val="006D7AA4"/>
    <w:rsid w:val="006F0670"/>
    <w:rsid w:val="006F2621"/>
    <w:rsid w:val="00707827"/>
    <w:rsid w:val="0074403F"/>
    <w:rsid w:val="00751C51"/>
    <w:rsid w:val="00760051"/>
    <w:rsid w:val="007742FE"/>
    <w:rsid w:val="00780404"/>
    <w:rsid w:val="00785141"/>
    <w:rsid w:val="007B247A"/>
    <w:rsid w:val="007B5974"/>
    <w:rsid w:val="007C6DA4"/>
    <w:rsid w:val="007D0BB3"/>
    <w:rsid w:val="007E1406"/>
    <w:rsid w:val="007E3CBA"/>
    <w:rsid w:val="007F1AEB"/>
    <w:rsid w:val="007F33A0"/>
    <w:rsid w:val="00817D7F"/>
    <w:rsid w:val="00823BC4"/>
    <w:rsid w:val="0083570D"/>
    <w:rsid w:val="00845E13"/>
    <w:rsid w:val="008508B2"/>
    <w:rsid w:val="008602D4"/>
    <w:rsid w:val="0087115B"/>
    <w:rsid w:val="00871A6B"/>
    <w:rsid w:val="008814CD"/>
    <w:rsid w:val="00883DC4"/>
    <w:rsid w:val="008A0A5D"/>
    <w:rsid w:val="008A1EF2"/>
    <w:rsid w:val="008D456C"/>
    <w:rsid w:val="008D764E"/>
    <w:rsid w:val="0090777B"/>
    <w:rsid w:val="00935EFE"/>
    <w:rsid w:val="00943FFC"/>
    <w:rsid w:val="00967BCD"/>
    <w:rsid w:val="00980A96"/>
    <w:rsid w:val="00986D6A"/>
    <w:rsid w:val="00990380"/>
    <w:rsid w:val="00994630"/>
    <w:rsid w:val="009955A8"/>
    <w:rsid w:val="009A5EC8"/>
    <w:rsid w:val="009B44A1"/>
    <w:rsid w:val="009C1313"/>
    <w:rsid w:val="009C672D"/>
    <w:rsid w:val="009F5181"/>
    <w:rsid w:val="009F7972"/>
    <w:rsid w:val="00A1567F"/>
    <w:rsid w:val="00A304D4"/>
    <w:rsid w:val="00A650C9"/>
    <w:rsid w:val="00A654FC"/>
    <w:rsid w:val="00A81F61"/>
    <w:rsid w:val="00A967CA"/>
    <w:rsid w:val="00AA33B5"/>
    <w:rsid w:val="00AA6B0F"/>
    <w:rsid w:val="00AA75D4"/>
    <w:rsid w:val="00AD27C8"/>
    <w:rsid w:val="00AF3EBC"/>
    <w:rsid w:val="00AF5A5C"/>
    <w:rsid w:val="00B20217"/>
    <w:rsid w:val="00B309B2"/>
    <w:rsid w:val="00B32EB9"/>
    <w:rsid w:val="00B46BBA"/>
    <w:rsid w:val="00B56D1D"/>
    <w:rsid w:val="00B6400A"/>
    <w:rsid w:val="00B65DA3"/>
    <w:rsid w:val="00B73889"/>
    <w:rsid w:val="00B81F93"/>
    <w:rsid w:val="00BC36E8"/>
    <w:rsid w:val="00BD36B6"/>
    <w:rsid w:val="00BE0628"/>
    <w:rsid w:val="00BE0B9C"/>
    <w:rsid w:val="00BF15A6"/>
    <w:rsid w:val="00BF4A05"/>
    <w:rsid w:val="00C15A61"/>
    <w:rsid w:val="00C31021"/>
    <w:rsid w:val="00C534BF"/>
    <w:rsid w:val="00C6074A"/>
    <w:rsid w:val="00C61F66"/>
    <w:rsid w:val="00C66BF9"/>
    <w:rsid w:val="00C75B81"/>
    <w:rsid w:val="00C941AD"/>
    <w:rsid w:val="00C94C56"/>
    <w:rsid w:val="00CA1966"/>
    <w:rsid w:val="00CC1F20"/>
    <w:rsid w:val="00CC7FE7"/>
    <w:rsid w:val="00CE361E"/>
    <w:rsid w:val="00CF75AB"/>
    <w:rsid w:val="00D04E3E"/>
    <w:rsid w:val="00D10068"/>
    <w:rsid w:val="00D10A70"/>
    <w:rsid w:val="00D1367C"/>
    <w:rsid w:val="00D53B53"/>
    <w:rsid w:val="00D57F97"/>
    <w:rsid w:val="00D711ED"/>
    <w:rsid w:val="00D841FA"/>
    <w:rsid w:val="00DA0D19"/>
    <w:rsid w:val="00DA4ABF"/>
    <w:rsid w:val="00DA7BD2"/>
    <w:rsid w:val="00DB7865"/>
    <w:rsid w:val="00DD56E4"/>
    <w:rsid w:val="00DE23FD"/>
    <w:rsid w:val="00DF7B24"/>
    <w:rsid w:val="00E04276"/>
    <w:rsid w:val="00E064D2"/>
    <w:rsid w:val="00E125FC"/>
    <w:rsid w:val="00E227E9"/>
    <w:rsid w:val="00E36C0D"/>
    <w:rsid w:val="00E61CE8"/>
    <w:rsid w:val="00E6524F"/>
    <w:rsid w:val="00E65BCA"/>
    <w:rsid w:val="00E70530"/>
    <w:rsid w:val="00E731A6"/>
    <w:rsid w:val="00E757EA"/>
    <w:rsid w:val="00E778D9"/>
    <w:rsid w:val="00E849F5"/>
    <w:rsid w:val="00E87709"/>
    <w:rsid w:val="00EA006B"/>
    <w:rsid w:val="00EA075D"/>
    <w:rsid w:val="00EB48EC"/>
    <w:rsid w:val="00EE1BEC"/>
    <w:rsid w:val="00EF08F9"/>
    <w:rsid w:val="00EF18FF"/>
    <w:rsid w:val="00EF1B90"/>
    <w:rsid w:val="00EF5209"/>
    <w:rsid w:val="00F0031F"/>
    <w:rsid w:val="00F03645"/>
    <w:rsid w:val="00F06AEB"/>
    <w:rsid w:val="00F07578"/>
    <w:rsid w:val="00F41443"/>
    <w:rsid w:val="00F839F0"/>
    <w:rsid w:val="00F9179A"/>
    <w:rsid w:val="00F93821"/>
    <w:rsid w:val="00FA6B62"/>
    <w:rsid w:val="00FA73C6"/>
    <w:rsid w:val="00FC060E"/>
    <w:rsid w:val="00FC612B"/>
    <w:rsid w:val="00FD0D62"/>
    <w:rsid w:val="00F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ECAE"/>
  <w15:docId w15:val="{A23F3E21-AA97-47CA-936C-D3DC89D6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61"/>
    <w:rPr>
      <w:rFonts w:ascii="Tahoma" w:hAnsi="Tahoma" w:cs="Tahoma"/>
      <w:sz w:val="16"/>
      <w:szCs w:val="16"/>
    </w:rPr>
  </w:style>
  <w:style w:type="character" w:styleId="Hyperlink">
    <w:name w:val="Hyperlink"/>
    <w:basedOn w:val="DefaultParagraphFont"/>
    <w:uiPriority w:val="99"/>
    <w:unhideWhenUsed/>
    <w:rsid w:val="00760051"/>
    <w:rPr>
      <w:color w:val="0000FF" w:themeColor="hyperlink"/>
      <w:u w:val="single"/>
    </w:rPr>
  </w:style>
  <w:style w:type="paragraph" w:styleId="Header">
    <w:name w:val="header"/>
    <w:basedOn w:val="Normal"/>
    <w:link w:val="HeaderChar"/>
    <w:uiPriority w:val="99"/>
    <w:unhideWhenUsed/>
    <w:rsid w:val="006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3E"/>
  </w:style>
  <w:style w:type="paragraph" w:styleId="Footer">
    <w:name w:val="footer"/>
    <w:basedOn w:val="Normal"/>
    <w:link w:val="FooterChar"/>
    <w:uiPriority w:val="99"/>
    <w:unhideWhenUsed/>
    <w:rsid w:val="006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3E"/>
  </w:style>
  <w:style w:type="paragraph" w:styleId="ListParagraph">
    <w:name w:val="List Paragraph"/>
    <w:basedOn w:val="Normal"/>
    <w:uiPriority w:val="34"/>
    <w:qFormat/>
    <w:rsid w:val="00A81F61"/>
    <w:pPr>
      <w:ind w:left="720"/>
      <w:contextualSpacing/>
    </w:pPr>
  </w:style>
  <w:style w:type="character" w:styleId="Emphasis">
    <w:name w:val="Emphasis"/>
    <w:basedOn w:val="DefaultParagraphFont"/>
    <w:uiPriority w:val="20"/>
    <w:qFormat/>
    <w:rsid w:val="0044649B"/>
    <w:rPr>
      <w:i/>
      <w:iCs/>
    </w:rPr>
  </w:style>
  <w:style w:type="paragraph" w:customStyle="1" w:styleId="Default">
    <w:name w:val="Default"/>
    <w:rsid w:val="0044649B"/>
    <w:pPr>
      <w:autoSpaceDE w:val="0"/>
      <w:autoSpaceDN w:val="0"/>
      <w:adjustRightInd w:val="0"/>
      <w:spacing w:after="0" w:line="240" w:lineRule="auto"/>
    </w:pPr>
    <w:rPr>
      <w:rFonts w:ascii="Arial" w:hAnsi="Arial" w:cs="Arial"/>
      <w:color w:val="000000"/>
      <w:sz w:val="24"/>
      <w:szCs w:val="24"/>
    </w:rPr>
  </w:style>
  <w:style w:type="paragraph" w:customStyle="1" w:styleId="Pa36">
    <w:name w:val="Pa3+6"/>
    <w:basedOn w:val="Default"/>
    <w:next w:val="Default"/>
    <w:uiPriority w:val="99"/>
    <w:rsid w:val="001B3945"/>
    <w:pPr>
      <w:spacing w:line="186" w:lineRule="atLeast"/>
    </w:pPr>
    <w:rPr>
      <w:rFonts w:ascii="Janson Text" w:hAnsi="Janson Text" w:cstheme="minorBidi"/>
      <w:color w:val="auto"/>
    </w:rPr>
  </w:style>
  <w:style w:type="character" w:styleId="CommentReference">
    <w:name w:val="annotation reference"/>
    <w:basedOn w:val="DefaultParagraphFont"/>
    <w:uiPriority w:val="99"/>
    <w:semiHidden/>
    <w:unhideWhenUsed/>
    <w:rsid w:val="00562DAF"/>
    <w:rPr>
      <w:sz w:val="16"/>
      <w:szCs w:val="16"/>
    </w:rPr>
  </w:style>
  <w:style w:type="paragraph" w:styleId="CommentText">
    <w:name w:val="annotation text"/>
    <w:basedOn w:val="Normal"/>
    <w:link w:val="CommentTextChar"/>
    <w:uiPriority w:val="99"/>
    <w:semiHidden/>
    <w:unhideWhenUsed/>
    <w:rsid w:val="00562DAF"/>
    <w:pPr>
      <w:spacing w:line="240" w:lineRule="auto"/>
    </w:pPr>
    <w:rPr>
      <w:sz w:val="20"/>
      <w:szCs w:val="20"/>
    </w:rPr>
  </w:style>
  <w:style w:type="character" w:customStyle="1" w:styleId="CommentTextChar">
    <w:name w:val="Comment Text Char"/>
    <w:basedOn w:val="DefaultParagraphFont"/>
    <w:link w:val="CommentText"/>
    <w:uiPriority w:val="99"/>
    <w:semiHidden/>
    <w:rsid w:val="00562DAF"/>
    <w:rPr>
      <w:sz w:val="20"/>
      <w:szCs w:val="20"/>
    </w:rPr>
  </w:style>
  <w:style w:type="paragraph" w:styleId="CommentSubject">
    <w:name w:val="annotation subject"/>
    <w:basedOn w:val="CommentText"/>
    <w:next w:val="CommentText"/>
    <w:link w:val="CommentSubjectChar"/>
    <w:uiPriority w:val="99"/>
    <w:semiHidden/>
    <w:unhideWhenUsed/>
    <w:rsid w:val="00562DAF"/>
    <w:rPr>
      <w:b/>
      <w:bCs/>
    </w:rPr>
  </w:style>
  <w:style w:type="character" w:customStyle="1" w:styleId="CommentSubjectChar">
    <w:name w:val="Comment Subject Char"/>
    <w:basedOn w:val="CommentTextChar"/>
    <w:link w:val="CommentSubject"/>
    <w:uiPriority w:val="99"/>
    <w:semiHidden/>
    <w:rsid w:val="00562DAF"/>
    <w:rPr>
      <w:b/>
      <w:bCs/>
      <w:sz w:val="20"/>
      <w:szCs w:val="20"/>
    </w:rPr>
  </w:style>
  <w:style w:type="character" w:styleId="Mention">
    <w:name w:val="Mention"/>
    <w:basedOn w:val="DefaultParagraphFont"/>
    <w:uiPriority w:val="99"/>
    <w:semiHidden/>
    <w:unhideWhenUsed/>
    <w:rsid w:val="00DA0D19"/>
    <w:rPr>
      <w:color w:val="2B579A"/>
      <w:shd w:val="clear" w:color="auto" w:fill="E6E6E6"/>
    </w:rPr>
  </w:style>
  <w:style w:type="character" w:styleId="UnresolvedMention">
    <w:name w:val="Unresolved Mention"/>
    <w:basedOn w:val="DefaultParagraphFont"/>
    <w:uiPriority w:val="99"/>
    <w:semiHidden/>
    <w:unhideWhenUsed/>
    <w:rsid w:val="004F0E22"/>
    <w:rPr>
      <w:color w:val="808080"/>
      <w:shd w:val="clear" w:color="auto" w:fill="E6E6E6"/>
    </w:rPr>
  </w:style>
  <w:style w:type="character" w:styleId="FollowedHyperlink">
    <w:name w:val="FollowedHyperlink"/>
    <w:basedOn w:val="DefaultParagraphFont"/>
    <w:uiPriority w:val="99"/>
    <w:semiHidden/>
    <w:unhideWhenUsed/>
    <w:rsid w:val="00672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7822">
      <w:bodyDiv w:val="1"/>
      <w:marLeft w:val="0"/>
      <w:marRight w:val="0"/>
      <w:marTop w:val="0"/>
      <w:marBottom w:val="0"/>
      <w:divBdr>
        <w:top w:val="none" w:sz="0" w:space="0" w:color="auto"/>
        <w:left w:val="none" w:sz="0" w:space="0" w:color="auto"/>
        <w:bottom w:val="none" w:sz="0" w:space="0" w:color="auto"/>
        <w:right w:val="none" w:sz="0" w:space="0" w:color="auto"/>
      </w:divBdr>
    </w:div>
    <w:div w:id="747506558">
      <w:bodyDiv w:val="1"/>
      <w:marLeft w:val="0"/>
      <w:marRight w:val="0"/>
      <w:marTop w:val="0"/>
      <w:marBottom w:val="0"/>
      <w:divBdr>
        <w:top w:val="none" w:sz="0" w:space="0" w:color="auto"/>
        <w:left w:val="none" w:sz="0" w:space="0" w:color="auto"/>
        <w:bottom w:val="none" w:sz="0" w:space="0" w:color="auto"/>
        <w:right w:val="none" w:sz="0" w:space="0" w:color="auto"/>
      </w:divBdr>
    </w:div>
    <w:div w:id="1077940933">
      <w:bodyDiv w:val="1"/>
      <w:marLeft w:val="0"/>
      <w:marRight w:val="0"/>
      <w:marTop w:val="0"/>
      <w:marBottom w:val="0"/>
      <w:divBdr>
        <w:top w:val="none" w:sz="0" w:space="0" w:color="auto"/>
        <w:left w:val="none" w:sz="0" w:space="0" w:color="auto"/>
        <w:bottom w:val="none" w:sz="0" w:space="0" w:color="auto"/>
        <w:right w:val="none" w:sz="0" w:space="0" w:color="auto"/>
      </w:divBdr>
    </w:div>
    <w:div w:id="1237863014">
      <w:bodyDiv w:val="1"/>
      <w:marLeft w:val="0"/>
      <w:marRight w:val="0"/>
      <w:marTop w:val="0"/>
      <w:marBottom w:val="0"/>
      <w:divBdr>
        <w:top w:val="none" w:sz="0" w:space="0" w:color="auto"/>
        <w:left w:val="none" w:sz="0" w:space="0" w:color="auto"/>
        <w:bottom w:val="none" w:sz="0" w:space="0" w:color="auto"/>
        <w:right w:val="none" w:sz="0" w:space="0" w:color="auto"/>
      </w:divBdr>
    </w:div>
    <w:div w:id="1502575711">
      <w:bodyDiv w:val="1"/>
      <w:marLeft w:val="0"/>
      <w:marRight w:val="0"/>
      <w:marTop w:val="0"/>
      <w:marBottom w:val="0"/>
      <w:divBdr>
        <w:top w:val="none" w:sz="0" w:space="0" w:color="auto"/>
        <w:left w:val="none" w:sz="0" w:space="0" w:color="auto"/>
        <w:bottom w:val="none" w:sz="0" w:space="0" w:color="auto"/>
        <w:right w:val="none" w:sz="0" w:space="0" w:color="auto"/>
      </w:divBdr>
    </w:div>
    <w:div w:id="1544708861">
      <w:bodyDiv w:val="1"/>
      <w:marLeft w:val="0"/>
      <w:marRight w:val="0"/>
      <w:marTop w:val="0"/>
      <w:marBottom w:val="0"/>
      <w:divBdr>
        <w:top w:val="none" w:sz="0" w:space="0" w:color="auto"/>
        <w:left w:val="none" w:sz="0" w:space="0" w:color="auto"/>
        <w:bottom w:val="none" w:sz="0" w:space="0" w:color="auto"/>
        <w:right w:val="none" w:sz="0" w:space="0" w:color="auto"/>
      </w:divBdr>
    </w:div>
    <w:div w:id="18318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r.com/toplists/2018-Top-500-Design-Firms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s.ly/H0cLD7K0" TargetMode="External"/><Relationship Id="rId5" Type="http://schemas.openxmlformats.org/officeDocument/2006/relationships/webSettings" Target="webSettings.xml"/><Relationship Id="rId10" Type="http://schemas.openxmlformats.org/officeDocument/2006/relationships/hyperlink" Target="https://hubs.ly/H0cLFkm0" TargetMode="External"/><Relationship Id="rId4" Type="http://schemas.openxmlformats.org/officeDocument/2006/relationships/settings" Target="settings.xml"/><Relationship Id="rId9" Type="http://schemas.openxmlformats.org/officeDocument/2006/relationships/hyperlink" Target="https://hubs.ly/H0cLFhw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A630-2874-4B59-85EA-A0A44906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Burns &amp; McDonnell</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Widmar, Kristi L</dc:creator>
  <cp:lastModifiedBy>Amstein, Darla</cp:lastModifiedBy>
  <cp:revision>2</cp:revision>
  <cp:lastPrinted>2018-06-22T12:30:00Z</cp:lastPrinted>
  <dcterms:created xsi:type="dcterms:W3CDTF">2018-06-22T14:54:00Z</dcterms:created>
  <dcterms:modified xsi:type="dcterms:W3CDTF">2018-06-22T14:54:00Z</dcterms:modified>
</cp:coreProperties>
</file>