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FD10" w14:textId="0A8B6872" w:rsidR="00895F08" w:rsidRDefault="00C56024" w:rsidP="00313458">
      <w:pPr>
        <w:jc w:val="center"/>
        <w:rPr>
          <w:b/>
          <w:sz w:val="36"/>
          <w:szCs w:val="36"/>
        </w:rPr>
      </w:pPr>
      <w:r w:rsidRPr="006950C6">
        <w:rPr>
          <w:b/>
          <w:sz w:val="36"/>
          <w:szCs w:val="36"/>
        </w:rPr>
        <w:t>Safeguarding Arrangements (College Closure)</w:t>
      </w:r>
    </w:p>
    <w:p w14:paraId="2132819B" w14:textId="77777777" w:rsidR="00313458" w:rsidRPr="00313458" w:rsidRDefault="00313458" w:rsidP="00313458">
      <w:pPr>
        <w:jc w:val="center"/>
        <w:rPr>
          <w:b/>
          <w:sz w:val="24"/>
          <w:szCs w:val="24"/>
        </w:rPr>
      </w:pPr>
    </w:p>
    <w:p w14:paraId="4EDC249B" w14:textId="77777777" w:rsidR="00F83695" w:rsidRDefault="006950C6" w:rsidP="00C56024">
      <w:pPr>
        <w:jc w:val="both"/>
        <w:rPr>
          <w:sz w:val="24"/>
          <w:szCs w:val="24"/>
        </w:rPr>
      </w:pPr>
      <w:r w:rsidRPr="006950C6">
        <w:rPr>
          <w:sz w:val="24"/>
          <w:szCs w:val="24"/>
        </w:rPr>
        <w:t xml:space="preserve">The below arrangements should be used by staff and students to contact the College Safeguarding Team </w:t>
      </w:r>
      <w:r w:rsidR="00C56024" w:rsidRPr="006950C6">
        <w:rPr>
          <w:sz w:val="24"/>
          <w:szCs w:val="24"/>
        </w:rPr>
        <w:t xml:space="preserve">in the event of </w:t>
      </w:r>
      <w:r w:rsidR="00895F08">
        <w:rPr>
          <w:sz w:val="24"/>
          <w:szCs w:val="24"/>
        </w:rPr>
        <w:t>closure.</w:t>
      </w:r>
    </w:p>
    <w:p w14:paraId="6E752752" w14:textId="77777777" w:rsidR="009C417F" w:rsidRDefault="001C4253" w:rsidP="00C56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team will still be available to discuss concerns </w:t>
      </w:r>
      <w:r w:rsidR="00D70448">
        <w:rPr>
          <w:sz w:val="24"/>
          <w:szCs w:val="24"/>
        </w:rPr>
        <w:t xml:space="preserve">by email or telephone and supportive information can be accessed through the website, safeguarding handbooks or </w:t>
      </w:r>
      <w:r w:rsidR="00895F08">
        <w:rPr>
          <w:sz w:val="24"/>
          <w:szCs w:val="24"/>
        </w:rPr>
        <w:t xml:space="preserve">safeguarding </w:t>
      </w:r>
      <w:r w:rsidR="00D70448">
        <w:rPr>
          <w:sz w:val="24"/>
          <w:szCs w:val="24"/>
        </w:rPr>
        <w:t>cards.</w:t>
      </w:r>
    </w:p>
    <w:p w14:paraId="03C893FE" w14:textId="77777777" w:rsidR="009C417F" w:rsidRDefault="009C417F" w:rsidP="00C56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Safeguarding Mobile: </w:t>
      </w:r>
      <w:r w:rsidRPr="009C417F">
        <w:rPr>
          <w:b/>
          <w:sz w:val="24"/>
          <w:szCs w:val="24"/>
        </w:rPr>
        <w:t>07580975854</w:t>
      </w:r>
    </w:p>
    <w:p w14:paraId="40E221FC" w14:textId="77777777" w:rsidR="009C417F" w:rsidRDefault="009C417F" w:rsidP="00C56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Safeguarding Email: </w:t>
      </w:r>
      <w:hyperlink r:id="rId5" w:history="1">
        <w:r w:rsidRPr="00CA10E1">
          <w:rPr>
            <w:rStyle w:val="Hyperlink"/>
            <w:sz w:val="24"/>
            <w:szCs w:val="24"/>
          </w:rPr>
          <w:t>safeguarding@lincolncollege.ac.uk</w:t>
        </w:r>
      </w:hyperlink>
      <w:r>
        <w:rPr>
          <w:sz w:val="24"/>
          <w:szCs w:val="24"/>
        </w:rPr>
        <w:t xml:space="preserve"> </w:t>
      </w:r>
    </w:p>
    <w:p w14:paraId="3E3E888E" w14:textId="3C8CDF30" w:rsidR="00D46156" w:rsidRDefault="00D46156" w:rsidP="00C56024">
      <w:pPr>
        <w:jc w:val="both"/>
      </w:pPr>
      <w:r>
        <w:rPr>
          <w:sz w:val="24"/>
          <w:szCs w:val="24"/>
        </w:rPr>
        <w:t xml:space="preserve">Safeguarding Web site: </w:t>
      </w:r>
      <w:hyperlink r:id="rId6" w:history="1">
        <w:r w:rsidRPr="00D46156">
          <w:rPr>
            <w:color w:val="0000FF"/>
            <w:u w:val="single"/>
          </w:rPr>
          <w:t>https://www.lincolncollege.ac.uk/support/safeguarding-prevent</w:t>
        </w:r>
      </w:hyperlink>
      <w:r>
        <w:t xml:space="preserve"> </w:t>
      </w:r>
    </w:p>
    <w:p w14:paraId="035B02AB" w14:textId="77777777" w:rsidR="00313458" w:rsidRDefault="00313458" w:rsidP="00C56024">
      <w:pPr>
        <w:jc w:val="both"/>
        <w:rPr>
          <w:sz w:val="24"/>
          <w:szCs w:val="24"/>
        </w:rPr>
      </w:pPr>
      <w:bookmarkStart w:id="0" w:name="_GoBack"/>
      <w:bookmarkEnd w:id="0"/>
    </w:p>
    <w:p w14:paraId="0009786C" w14:textId="77777777" w:rsidR="009F147E" w:rsidRPr="009F147E" w:rsidRDefault="009F147E" w:rsidP="00D704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Step 1: Contact</w:t>
      </w:r>
      <w:r w:rsidR="00D70448">
        <w:rPr>
          <w:b/>
          <w:sz w:val="36"/>
          <w:szCs w:val="36"/>
        </w:rPr>
        <w:t xml:space="preserve"> &amp; Report</w:t>
      </w:r>
    </w:p>
    <w:p w14:paraId="065D69A1" w14:textId="52D099AD" w:rsidR="009F147E" w:rsidRPr="00895F08" w:rsidRDefault="008123D6" w:rsidP="009F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95F08">
        <w:rPr>
          <w:sz w:val="24"/>
          <w:szCs w:val="24"/>
        </w:rPr>
        <w:t>Students, staff and third-parties should c</w:t>
      </w:r>
      <w:r w:rsidR="009F147E" w:rsidRPr="00895F08">
        <w:rPr>
          <w:sz w:val="24"/>
          <w:szCs w:val="24"/>
        </w:rPr>
        <w:t xml:space="preserve">ontact </w:t>
      </w:r>
      <w:r w:rsidRPr="00895F08">
        <w:rPr>
          <w:sz w:val="24"/>
          <w:szCs w:val="24"/>
        </w:rPr>
        <w:t xml:space="preserve">the team by </w:t>
      </w:r>
      <w:r w:rsidRPr="00895F08">
        <w:rPr>
          <w:b/>
          <w:color w:val="FF0000"/>
          <w:sz w:val="24"/>
          <w:szCs w:val="24"/>
        </w:rPr>
        <w:t xml:space="preserve">email or </w:t>
      </w:r>
      <w:r w:rsidR="00107F19">
        <w:rPr>
          <w:b/>
          <w:color w:val="FF0000"/>
          <w:sz w:val="24"/>
          <w:szCs w:val="24"/>
        </w:rPr>
        <w:t xml:space="preserve">mobile </w:t>
      </w:r>
      <w:r w:rsidRPr="00895F08">
        <w:rPr>
          <w:b/>
          <w:color w:val="FF0000"/>
          <w:sz w:val="24"/>
          <w:szCs w:val="24"/>
        </w:rPr>
        <w:t>telephone</w:t>
      </w:r>
      <w:r w:rsidR="009F147E" w:rsidRPr="00895F08">
        <w:rPr>
          <w:color w:val="FF0000"/>
          <w:sz w:val="24"/>
          <w:szCs w:val="24"/>
        </w:rPr>
        <w:t xml:space="preserve"> </w:t>
      </w:r>
      <w:r w:rsidRPr="00895F08">
        <w:rPr>
          <w:sz w:val="24"/>
          <w:szCs w:val="24"/>
        </w:rPr>
        <w:t xml:space="preserve">for </w:t>
      </w:r>
      <w:r w:rsidR="00D70448" w:rsidRPr="00895F08">
        <w:rPr>
          <w:sz w:val="24"/>
          <w:szCs w:val="24"/>
        </w:rPr>
        <w:t xml:space="preserve">all </w:t>
      </w:r>
      <w:r w:rsidRPr="00895F08">
        <w:rPr>
          <w:sz w:val="24"/>
          <w:szCs w:val="24"/>
        </w:rPr>
        <w:t xml:space="preserve">enquiries </w:t>
      </w:r>
      <w:r w:rsidR="00D70448" w:rsidRPr="00895F08">
        <w:rPr>
          <w:sz w:val="24"/>
          <w:szCs w:val="24"/>
        </w:rPr>
        <w:t>and</w:t>
      </w:r>
      <w:r w:rsidR="009F147E" w:rsidRPr="00895F08">
        <w:rPr>
          <w:sz w:val="24"/>
          <w:szCs w:val="24"/>
        </w:rPr>
        <w:t xml:space="preserve"> concerns</w:t>
      </w:r>
      <w:r w:rsidRPr="00895F08">
        <w:rPr>
          <w:sz w:val="24"/>
          <w:szCs w:val="24"/>
        </w:rPr>
        <w:t>.</w:t>
      </w:r>
      <w:r w:rsidR="009F147E" w:rsidRPr="00895F08">
        <w:rPr>
          <w:sz w:val="24"/>
          <w:szCs w:val="24"/>
        </w:rPr>
        <w:t xml:space="preserve"> A member of staff will be available on call </w:t>
      </w:r>
      <w:r w:rsidR="003861B5">
        <w:rPr>
          <w:sz w:val="24"/>
          <w:szCs w:val="24"/>
        </w:rPr>
        <w:t xml:space="preserve">during office hours </w:t>
      </w:r>
      <w:r w:rsidR="009F147E" w:rsidRPr="00895F08">
        <w:rPr>
          <w:sz w:val="24"/>
          <w:szCs w:val="24"/>
        </w:rPr>
        <w:t>(safeguarding mobile) and staff will monitor the shared inbox remotely.</w:t>
      </w:r>
    </w:p>
    <w:p w14:paraId="48AA0747" w14:textId="27A45BB0" w:rsidR="009F147E" w:rsidRDefault="009F147E" w:rsidP="00C56024">
      <w:pPr>
        <w:jc w:val="both"/>
        <w:rPr>
          <w:sz w:val="24"/>
          <w:szCs w:val="24"/>
        </w:rPr>
      </w:pPr>
    </w:p>
    <w:p w14:paraId="675E409B" w14:textId="55835FE7" w:rsidR="00107F19" w:rsidRDefault="00107F19" w:rsidP="00E8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For concerns related to staff or volunteers, contact should be made in the first instance with the College’s Designated Safeguarding Lead</w:t>
      </w:r>
      <w:r w:rsidR="00017757">
        <w:rPr>
          <w:sz w:val="24"/>
          <w:szCs w:val="24"/>
        </w:rPr>
        <w:t xml:space="preserve">, </w:t>
      </w:r>
      <w:r w:rsidR="00313458">
        <w:rPr>
          <w:sz w:val="24"/>
          <w:szCs w:val="24"/>
        </w:rPr>
        <w:t>Group Director of HR and Student Support Services</w:t>
      </w:r>
      <w:r>
        <w:rPr>
          <w:sz w:val="24"/>
          <w:szCs w:val="24"/>
        </w:rPr>
        <w:t xml:space="preserve"> (</w:t>
      </w:r>
      <w:r w:rsidRPr="00E85DED">
        <w:rPr>
          <w:b/>
          <w:sz w:val="24"/>
          <w:szCs w:val="24"/>
        </w:rPr>
        <w:t>Jacqui V</w:t>
      </w:r>
      <w:r w:rsidR="00017757">
        <w:rPr>
          <w:b/>
          <w:sz w:val="24"/>
          <w:szCs w:val="24"/>
        </w:rPr>
        <w:t>arlow</w:t>
      </w:r>
      <w:r>
        <w:rPr>
          <w:sz w:val="24"/>
          <w:szCs w:val="24"/>
        </w:rPr>
        <w:t>) or the nominated Deputy Designated Safeguarding Leads</w:t>
      </w:r>
      <w:r w:rsidR="00017757">
        <w:rPr>
          <w:sz w:val="24"/>
          <w:szCs w:val="24"/>
        </w:rPr>
        <w:t>, Head of Student Services and Supported Education (</w:t>
      </w:r>
      <w:r w:rsidR="00017757" w:rsidRPr="00017757">
        <w:rPr>
          <w:b/>
          <w:sz w:val="24"/>
          <w:szCs w:val="24"/>
        </w:rPr>
        <w:t>Charlotte McHugh</w:t>
      </w:r>
      <w:r w:rsidR="00017757">
        <w:rPr>
          <w:b/>
          <w:sz w:val="24"/>
          <w:szCs w:val="24"/>
        </w:rPr>
        <w:t>)</w:t>
      </w:r>
      <w:r w:rsidR="00017757">
        <w:rPr>
          <w:sz w:val="24"/>
          <w:szCs w:val="24"/>
        </w:rPr>
        <w:t xml:space="preserve"> or Customer Service and Pastoral Manager (</w:t>
      </w:r>
      <w:r w:rsidR="00017757" w:rsidRPr="00017757">
        <w:rPr>
          <w:b/>
          <w:sz w:val="24"/>
          <w:szCs w:val="24"/>
        </w:rPr>
        <w:t>Sam Yates</w:t>
      </w:r>
      <w:r w:rsidR="0001775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in their absence. The Designated Safeguarding Lead will advise on appropriate action.</w:t>
      </w:r>
    </w:p>
    <w:p w14:paraId="0DA17544" w14:textId="77777777" w:rsidR="00313458" w:rsidRPr="00313458" w:rsidRDefault="00313458" w:rsidP="009F147E">
      <w:pPr>
        <w:jc w:val="center"/>
        <w:rPr>
          <w:b/>
          <w:sz w:val="24"/>
          <w:szCs w:val="24"/>
        </w:rPr>
      </w:pPr>
    </w:p>
    <w:p w14:paraId="3DE6025B" w14:textId="419509B0" w:rsidR="009F147E" w:rsidRPr="009F147E" w:rsidRDefault="009F147E" w:rsidP="009F1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Step 2: Triage &amp; Advise</w:t>
      </w:r>
    </w:p>
    <w:p w14:paraId="3BF54356" w14:textId="77777777" w:rsidR="009F147E" w:rsidRPr="00895F08" w:rsidRDefault="009F147E" w:rsidP="009F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95F08">
        <w:rPr>
          <w:sz w:val="24"/>
          <w:szCs w:val="24"/>
        </w:rPr>
        <w:t>Safeguarding staff will review the circumstances and prioritise</w:t>
      </w:r>
      <w:r w:rsidR="008123D6" w:rsidRPr="00895F08">
        <w:rPr>
          <w:sz w:val="24"/>
          <w:szCs w:val="24"/>
        </w:rPr>
        <w:t xml:space="preserve"> the</w:t>
      </w:r>
      <w:r w:rsidRPr="00895F08">
        <w:rPr>
          <w:sz w:val="24"/>
          <w:szCs w:val="24"/>
        </w:rPr>
        <w:t xml:space="preserve"> response based on the severity</w:t>
      </w:r>
      <w:r w:rsidR="008123D6" w:rsidRPr="00895F08">
        <w:rPr>
          <w:sz w:val="24"/>
          <w:szCs w:val="24"/>
        </w:rPr>
        <w:t xml:space="preserve"> or urgency</w:t>
      </w:r>
      <w:r w:rsidRPr="00895F08">
        <w:rPr>
          <w:sz w:val="24"/>
          <w:szCs w:val="24"/>
        </w:rPr>
        <w:t xml:space="preserve"> of the concern or enquiry. The team will continue to offer appropriate advice and guidance, signposting to external services where appropriate and available.  </w:t>
      </w:r>
    </w:p>
    <w:p w14:paraId="4B2511C2" w14:textId="77777777" w:rsidR="009F147E" w:rsidRDefault="009F147E" w:rsidP="00C56024">
      <w:pPr>
        <w:jc w:val="both"/>
        <w:rPr>
          <w:sz w:val="24"/>
          <w:szCs w:val="24"/>
        </w:rPr>
      </w:pPr>
    </w:p>
    <w:p w14:paraId="68271F4F" w14:textId="77777777" w:rsidR="009F147E" w:rsidRPr="009F147E" w:rsidRDefault="009F147E" w:rsidP="00E85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3: </w:t>
      </w:r>
      <w:r w:rsidR="00D70448">
        <w:rPr>
          <w:b/>
          <w:sz w:val="36"/>
          <w:szCs w:val="36"/>
        </w:rPr>
        <w:t xml:space="preserve">Outcome &amp; </w:t>
      </w:r>
      <w:r>
        <w:rPr>
          <w:b/>
          <w:sz w:val="36"/>
          <w:szCs w:val="36"/>
        </w:rPr>
        <w:t>Support</w:t>
      </w:r>
    </w:p>
    <w:p w14:paraId="3FE8FFC0" w14:textId="13EA43C5" w:rsidR="008123D6" w:rsidRDefault="00FD1F4A" w:rsidP="00E8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95F08">
        <w:rPr>
          <w:sz w:val="24"/>
          <w:szCs w:val="24"/>
        </w:rPr>
        <w:t>Where concerns have been disclosed or identified, staff will be advise</w:t>
      </w:r>
      <w:r w:rsidR="003F3EC7">
        <w:rPr>
          <w:sz w:val="24"/>
          <w:szCs w:val="24"/>
        </w:rPr>
        <w:t>d</w:t>
      </w:r>
      <w:r w:rsidRPr="00895F08">
        <w:rPr>
          <w:sz w:val="24"/>
          <w:szCs w:val="24"/>
        </w:rPr>
        <w:t xml:space="preserve"> on required actions and available support (</w:t>
      </w:r>
      <w:r w:rsidR="00895F08">
        <w:rPr>
          <w:sz w:val="24"/>
          <w:szCs w:val="24"/>
        </w:rPr>
        <w:t xml:space="preserve">staff will </w:t>
      </w:r>
      <w:r w:rsidRPr="00895F08">
        <w:rPr>
          <w:sz w:val="24"/>
          <w:szCs w:val="24"/>
        </w:rPr>
        <w:t xml:space="preserve">action referrals to external services where necessary). </w:t>
      </w:r>
      <w:r w:rsidR="00895F08" w:rsidRPr="00895F08">
        <w:rPr>
          <w:sz w:val="24"/>
          <w:szCs w:val="24"/>
        </w:rPr>
        <w:t>Support agencies can be found in the safeguarding handbook, website or card.</w:t>
      </w:r>
    </w:p>
    <w:p w14:paraId="6052DE58" w14:textId="19E5BD8A" w:rsidR="00C56024" w:rsidRPr="00107F19" w:rsidRDefault="00523F4A" w:rsidP="00E8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Cases will be recorded onto the safeguarding Database.</w:t>
      </w:r>
    </w:p>
    <w:sectPr w:rsidR="00C56024" w:rsidRPr="00107F19" w:rsidSect="003134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7310"/>
    <w:multiLevelType w:val="hybridMultilevel"/>
    <w:tmpl w:val="E4ECC59A"/>
    <w:lvl w:ilvl="0" w:tplc="5006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E5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CA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E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22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A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AA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6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4"/>
    <w:rsid w:val="00017757"/>
    <w:rsid w:val="00107F19"/>
    <w:rsid w:val="00154D20"/>
    <w:rsid w:val="001C4253"/>
    <w:rsid w:val="002F2581"/>
    <w:rsid w:val="00313458"/>
    <w:rsid w:val="003861B5"/>
    <w:rsid w:val="003F3EC7"/>
    <w:rsid w:val="00523F4A"/>
    <w:rsid w:val="00652E37"/>
    <w:rsid w:val="006950C6"/>
    <w:rsid w:val="008123D6"/>
    <w:rsid w:val="00895F08"/>
    <w:rsid w:val="009B506F"/>
    <w:rsid w:val="009C417F"/>
    <w:rsid w:val="009F147E"/>
    <w:rsid w:val="00B62BBA"/>
    <w:rsid w:val="00C56024"/>
    <w:rsid w:val="00D46156"/>
    <w:rsid w:val="00D70448"/>
    <w:rsid w:val="00E85DED"/>
    <w:rsid w:val="00F83695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5D83"/>
  <w15:chartTrackingRefBased/>
  <w15:docId w15:val="{078871C3-97E9-4922-A476-F9D0C93B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0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colncollege.ac.uk/support/safeguarding-prevent" TargetMode="External"/><Relationship Id="rId5" Type="http://schemas.openxmlformats.org/officeDocument/2006/relationships/hyperlink" Target="mailto:safeguarding@lincolncolleg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Gow, Christopher</dc:creator>
  <cp:keywords/>
  <dc:description/>
  <cp:lastModifiedBy>McHugh, Charlotte</cp:lastModifiedBy>
  <cp:revision>2</cp:revision>
  <dcterms:created xsi:type="dcterms:W3CDTF">2020-04-03T11:40:00Z</dcterms:created>
  <dcterms:modified xsi:type="dcterms:W3CDTF">2020-04-03T11:40:00Z</dcterms:modified>
</cp:coreProperties>
</file>