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E140" w14:textId="77777777" w:rsidR="00EF6448" w:rsidRPr="0070047C" w:rsidRDefault="00EF6448" w:rsidP="00EF6448">
      <w:pPr>
        <w:rPr>
          <w:b/>
          <w:bCs/>
          <w:u w:val="single"/>
          <w:lang w:val="en"/>
        </w:rPr>
      </w:pPr>
      <w:r w:rsidRPr="0070047C">
        <w:rPr>
          <w:rStyle w:val="Strong"/>
          <w:lang w:val="en"/>
        </w:rPr>
        <w:t>Business Transformation &amp; Operational Excellence Awards</w:t>
      </w:r>
      <w:r>
        <w:rPr>
          <w:rStyle w:val="Strong"/>
          <w:lang w:val="en"/>
        </w:rPr>
        <w:br/>
      </w:r>
    </w:p>
    <w:p w14:paraId="1EC00A5A" w14:textId="77777777" w:rsidR="00EF6448" w:rsidRPr="00EF6448" w:rsidRDefault="00EF6448" w:rsidP="00EF6448">
      <w:pPr>
        <w:rPr>
          <w:b/>
        </w:rPr>
      </w:pPr>
      <w:r>
        <w:rPr>
          <w:b/>
        </w:rPr>
        <w:t xml:space="preserve">PROJECT AWARD </w:t>
      </w:r>
      <w:r w:rsidRPr="0070047C">
        <w:rPr>
          <w:b/>
        </w:rPr>
        <w:t xml:space="preserve">CATEGORY: </w:t>
      </w:r>
      <w:r w:rsidRPr="009F5442">
        <w:rPr>
          <w:b/>
        </w:rPr>
        <w:t>Best Achievement in Operational Excellence to deliver Digital Transformation</w:t>
      </w:r>
    </w:p>
    <w:p w14:paraId="39B56A16" w14:textId="2A22CA84" w:rsidR="00EF6448" w:rsidRDefault="00EF6448" w:rsidP="00EF6448">
      <w:pPr>
        <w:pStyle w:val="NoSpacing"/>
        <w:rPr>
          <w:b/>
        </w:rPr>
      </w:pPr>
      <w:r w:rsidRPr="009F5442">
        <w:rPr>
          <w:b/>
        </w:rPr>
        <w:t xml:space="preserve">Provide a 250-word synopsis of your project. This allows judges to get a summary understanding of your entry and is a useful tool for you to guide them to the key components (i.e. significant results) within your entry. </w:t>
      </w:r>
    </w:p>
    <w:p w14:paraId="5C4A9BBB" w14:textId="77777777" w:rsidR="00D11BED" w:rsidRPr="00230080" w:rsidRDefault="00D11BED" w:rsidP="006F48E7">
      <w:pPr>
        <w:pStyle w:val="NoSpacing"/>
        <w:rPr>
          <w:sz w:val="24"/>
          <w:szCs w:val="24"/>
        </w:rPr>
      </w:pPr>
    </w:p>
    <w:p w14:paraId="35452DE0" w14:textId="1FBD67B4" w:rsidR="00D11BED" w:rsidRPr="00230080" w:rsidRDefault="009D7BBE" w:rsidP="006F48E7">
      <w:pPr>
        <w:pStyle w:val="NoSpacing"/>
        <w:rPr>
          <w:sz w:val="24"/>
          <w:szCs w:val="24"/>
        </w:rPr>
      </w:pPr>
      <w:r>
        <w:rPr>
          <w:sz w:val="24"/>
          <w:szCs w:val="24"/>
        </w:rPr>
        <w:t>The Chief Technology Organization is</w:t>
      </w:r>
      <w:r w:rsidR="003146F3">
        <w:rPr>
          <w:sz w:val="24"/>
          <w:szCs w:val="24"/>
        </w:rPr>
        <w:t xml:space="preserve"> responsible for supporting Bank of America’s technology including </w:t>
      </w:r>
      <w:r w:rsidR="00864D58">
        <w:rPr>
          <w:sz w:val="24"/>
          <w:szCs w:val="24"/>
        </w:rPr>
        <w:t>over 5</w:t>
      </w:r>
      <w:r w:rsidR="003146F3">
        <w:rPr>
          <w:sz w:val="24"/>
          <w:szCs w:val="24"/>
        </w:rPr>
        <w:t>,</w:t>
      </w:r>
      <w:r w:rsidR="00864D58">
        <w:rPr>
          <w:sz w:val="24"/>
          <w:szCs w:val="24"/>
        </w:rPr>
        <w:t>700</w:t>
      </w:r>
      <w:r w:rsidR="003146F3">
        <w:rPr>
          <w:sz w:val="24"/>
          <w:szCs w:val="24"/>
        </w:rPr>
        <w:t xml:space="preserve"> applications, </w:t>
      </w:r>
      <w:r w:rsidR="00A6344E">
        <w:rPr>
          <w:sz w:val="24"/>
          <w:szCs w:val="24"/>
        </w:rPr>
        <w:t xml:space="preserve">160,000 servers, </w:t>
      </w:r>
      <w:r w:rsidR="00C45D99">
        <w:rPr>
          <w:sz w:val="24"/>
          <w:szCs w:val="24"/>
        </w:rPr>
        <w:t>1.33 MM</w:t>
      </w:r>
      <w:r w:rsidR="003146F3">
        <w:rPr>
          <w:sz w:val="24"/>
          <w:szCs w:val="24"/>
        </w:rPr>
        <w:t xml:space="preserve"> network </w:t>
      </w:r>
      <w:r w:rsidR="00C45D99">
        <w:rPr>
          <w:sz w:val="24"/>
          <w:szCs w:val="24"/>
        </w:rPr>
        <w:t>ports</w:t>
      </w:r>
      <w:r w:rsidR="003146F3">
        <w:rPr>
          <w:sz w:val="24"/>
          <w:szCs w:val="24"/>
        </w:rPr>
        <w:t xml:space="preserve">, </w:t>
      </w:r>
      <w:r w:rsidR="00D80BBD">
        <w:rPr>
          <w:sz w:val="24"/>
          <w:szCs w:val="24"/>
        </w:rPr>
        <w:t>16</w:t>
      </w:r>
      <w:r w:rsidR="00A6344E">
        <w:rPr>
          <w:sz w:val="24"/>
          <w:szCs w:val="24"/>
        </w:rPr>
        <w:t>,000</w:t>
      </w:r>
      <w:r w:rsidR="003146F3">
        <w:rPr>
          <w:sz w:val="24"/>
          <w:szCs w:val="24"/>
        </w:rPr>
        <w:t xml:space="preserve"> ATMs</w:t>
      </w:r>
      <w:r w:rsidR="00D80BBD">
        <w:rPr>
          <w:sz w:val="24"/>
          <w:szCs w:val="24"/>
        </w:rPr>
        <w:t>, 36 MM digital</w:t>
      </w:r>
      <w:r w:rsidR="003146F3">
        <w:rPr>
          <w:sz w:val="24"/>
          <w:szCs w:val="24"/>
        </w:rPr>
        <w:t xml:space="preserve"> and </w:t>
      </w:r>
      <w:r w:rsidR="00864D58">
        <w:rPr>
          <w:sz w:val="24"/>
          <w:szCs w:val="24"/>
        </w:rPr>
        <w:t>25.9</w:t>
      </w:r>
      <w:r w:rsidR="003146F3">
        <w:rPr>
          <w:sz w:val="24"/>
          <w:szCs w:val="24"/>
        </w:rPr>
        <w:t xml:space="preserve"> </w:t>
      </w:r>
      <w:r w:rsidR="0030772C">
        <w:rPr>
          <w:sz w:val="24"/>
          <w:szCs w:val="24"/>
        </w:rPr>
        <w:t>MM</w:t>
      </w:r>
      <w:r w:rsidR="003146F3">
        <w:rPr>
          <w:sz w:val="24"/>
          <w:szCs w:val="24"/>
        </w:rPr>
        <w:t xml:space="preserve"> </w:t>
      </w:r>
      <w:r w:rsidR="00864D58">
        <w:rPr>
          <w:sz w:val="24"/>
          <w:szCs w:val="24"/>
        </w:rPr>
        <w:t xml:space="preserve">active </w:t>
      </w:r>
      <w:r w:rsidR="003146F3">
        <w:rPr>
          <w:sz w:val="24"/>
          <w:szCs w:val="24"/>
        </w:rPr>
        <w:t xml:space="preserve">mobile banking users.  The stability of Bank of America’s </w:t>
      </w:r>
      <w:r w:rsidR="009043CB">
        <w:rPr>
          <w:sz w:val="24"/>
          <w:szCs w:val="24"/>
        </w:rPr>
        <w:t xml:space="preserve">systems </w:t>
      </w:r>
      <w:r w:rsidR="003146F3">
        <w:rPr>
          <w:sz w:val="24"/>
          <w:szCs w:val="24"/>
        </w:rPr>
        <w:t xml:space="preserve">is critical to </w:t>
      </w:r>
      <w:r w:rsidR="00066F33">
        <w:rPr>
          <w:sz w:val="24"/>
          <w:szCs w:val="24"/>
        </w:rPr>
        <w:t xml:space="preserve">our global operation and </w:t>
      </w:r>
      <w:r w:rsidR="003146F3">
        <w:rPr>
          <w:sz w:val="24"/>
          <w:szCs w:val="24"/>
        </w:rPr>
        <w:t>maintaining our customers’ trust</w:t>
      </w:r>
      <w:r w:rsidR="00B81ADC">
        <w:rPr>
          <w:sz w:val="24"/>
          <w:szCs w:val="24"/>
        </w:rPr>
        <w:t>.</w:t>
      </w:r>
      <w:r w:rsidR="00B81ADC" w:rsidRPr="00B81ADC">
        <w:rPr>
          <w:sz w:val="24"/>
          <w:szCs w:val="24"/>
        </w:rPr>
        <w:t xml:space="preserve"> </w:t>
      </w:r>
    </w:p>
    <w:p w14:paraId="39FDB527" w14:textId="77777777" w:rsidR="00D11BED" w:rsidRPr="00230080" w:rsidRDefault="00D11BED" w:rsidP="006F48E7">
      <w:pPr>
        <w:pStyle w:val="NoSpacing"/>
        <w:rPr>
          <w:sz w:val="24"/>
          <w:szCs w:val="24"/>
        </w:rPr>
      </w:pPr>
    </w:p>
    <w:p w14:paraId="551B7DA5" w14:textId="0836EB04" w:rsidR="0002071C" w:rsidRPr="00230080" w:rsidRDefault="00993489" w:rsidP="006F48E7">
      <w:pPr>
        <w:pStyle w:val="NoSpacing"/>
        <w:rPr>
          <w:sz w:val="24"/>
          <w:szCs w:val="24"/>
        </w:rPr>
      </w:pPr>
      <w:r>
        <w:rPr>
          <w:sz w:val="24"/>
          <w:szCs w:val="24"/>
        </w:rPr>
        <w:t xml:space="preserve">Technology operations plays a </w:t>
      </w:r>
      <w:r w:rsidR="00610FB6" w:rsidRPr="00230080">
        <w:rPr>
          <w:sz w:val="24"/>
          <w:szCs w:val="24"/>
        </w:rPr>
        <w:t>significant role in enabling responsible growth</w:t>
      </w:r>
      <w:r>
        <w:rPr>
          <w:sz w:val="24"/>
          <w:szCs w:val="24"/>
        </w:rPr>
        <w:t xml:space="preserve"> and driving operational efficiency throughout the organization. W</w:t>
      </w:r>
      <w:r w:rsidR="00E304B2">
        <w:rPr>
          <w:sz w:val="24"/>
          <w:szCs w:val="24"/>
        </w:rPr>
        <w:t>e</w:t>
      </w:r>
      <w:r w:rsidR="00EF6448" w:rsidRPr="00230080">
        <w:rPr>
          <w:sz w:val="24"/>
          <w:szCs w:val="24"/>
        </w:rPr>
        <w:t xml:space="preserve"> </w:t>
      </w:r>
      <w:r w:rsidR="0002071C" w:rsidRPr="00230080">
        <w:rPr>
          <w:sz w:val="24"/>
          <w:szCs w:val="24"/>
        </w:rPr>
        <w:t>launched a program</w:t>
      </w:r>
      <w:r w:rsidR="00AC0B17">
        <w:rPr>
          <w:sz w:val="24"/>
          <w:szCs w:val="24"/>
        </w:rPr>
        <w:t xml:space="preserve"> almost two years ago</w:t>
      </w:r>
      <w:r w:rsidR="0002071C" w:rsidRPr="00230080">
        <w:rPr>
          <w:sz w:val="24"/>
          <w:szCs w:val="24"/>
        </w:rPr>
        <w:t xml:space="preserve"> to </w:t>
      </w:r>
      <w:r>
        <w:rPr>
          <w:sz w:val="24"/>
          <w:szCs w:val="24"/>
        </w:rPr>
        <w:t>focus on these areas with the key objectives being:</w:t>
      </w:r>
    </w:p>
    <w:p w14:paraId="1AB01309" w14:textId="75BB1300" w:rsidR="0002071C" w:rsidRPr="00230080" w:rsidRDefault="00010E25" w:rsidP="0002071C">
      <w:pPr>
        <w:pStyle w:val="NoSpacing"/>
        <w:numPr>
          <w:ilvl w:val="0"/>
          <w:numId w:val="1"/>
        </w:numPr>
        <w:rPr>
          <w:sz w:val="24"/>
          <w:szCs w:val="24"/>
        </w:rPr>
      </w:pPr>
      <w:r w:rsidRPr="00230080">
        <w:rPr>
          <w:sz w:val="24"/>
          <w:szCs w:val="24"/>
        </w:rPr>
        <w:t xml:space="preserve">Build an operating model that </w:t>
      </w:r>
      <w:r w:rsidR="00B91359">
        <w:rPr>
          <w:sz w:val="24"/>
          <w:szCs w:val="24"/>
        </w:rPr>
        <w:t>optimizes our structure</w:t>
      </w:r>
    </w:p>
    <w:p w14:paraId="6FD70FEA" w14:textId="24D4CF9A" w:rsidR="0002071C" w:rsidRPr="00230080" w:rsidRDefault="00010E25" w:rsidP="0002071C">
      <w:pPr>
        <w:pStyle w:val="NoSpacing"/>
        <w:numPr>
          <w:ilvl w:val="0"/>
          <w:numId w:val="1"/>
        </w:numPr>
        <w:rPr>
          <w:sz w:val="24"/>
          <w:szCs w:val="24"/>
        </w:rPr>
      </w:pPr>
      <w:r w:rsidRPr="00230080">
        <w:rPr>
          <w:sz w:val="24"/>
          <w:szCs w:val="24"/>
        </w:rPr>
        <w:t xml:space="preserve">Reduce the volume and duration of </w:t>
      </w:r>
      <w:r w:rsidR="00C02A65">
        <w:rPr>
          <w:sz w:val="24"/>
          <w:szCs w:val="24"/>
        </w:rPr>
        <w:t xml:space="preserve">technology </w:t>
      </w:r>
      <w:r w:rsidRPr="00230080">
        <w:rPr>
          <w:sz w:val="24"/>
          <w:szCs w:val="24"/>
        </w:rPr>
        <w:t>incidents</w:t>
      </w:r>
    </w:p>
    <w:p w14:paraId="657A77E0" w14:textId="77777777" w:rsidR="0002071C" w:rsidRDefault="00010E25" w:rsidP="0002071C">
      <w:pPr>
        <w:pStyle w:val="NoSpacing"/>
        <w:numPr>
          <w:ilvl w:val="0"/>
          <w:numId w:val="1"/>
        </w:numPr>
        <w:rPr>
          <w:sz w:val="24"/>
          <w:szCs w:val="24"/>
        </w:rPr>
      </w:pPr>
      <w:r w:rsidRPr="00230080">
        <w:rPr>
          <w:sz w:val="24"/>
          <w:szCs w:val="24"/>
        </w:rPr>
        <w:t xml:space="preserve">Return productive capacity to the organization by </w:t>
      </w:r>
      <w:r w:rsidR="00DC3BB2">
        <w:rPr>
          <w:sz w:val="24"/>
          <w:szCs w:val="24"/>
        </w:rPr>
        <w:t>increasing automation</w:t>
      </w:r>
    </w:p>
    <w:p w14:paraId="733958F2" w14:textId="378BA6BE" w:rsidR="003146F3" w:rsidRPr="00230080" w:rsidRDefault="003146F3" w:rsidP="0002071C">
      <w:pPr>
        <w:pStyle w:val="NoSpacing"/>
        <w:numPr>
          <w:ilvl w:val="0"/>
          <w:numId w:val="1"/>
        </w:numPr>
        <w:rPr>
          <w:sz w:val="24"/>
          <w:szCs w:val="24"/>
        </w:rPr>
      </w:pPr>
      <w:r>
        <w:rPr>
          <w:sz w:val="24"/>
          <w:szCs w:val="24"/>
        </w:rPr>
        <w:t>Reduce the cost of operating Bank of America’s technology</w:t>
      </w:r>
    </w:p>
    <w:p w14:paraId="430C4D28" w14:textId="77777777" w:rsidR="00D71C25" w:rsidRDefault="00D71C25" w:rsidP="00014125">
      <w:pPr>
        <w:pStyle w:val="NoSpacing"/>
        <w:rPr>
          <w:b/>
          <w:sz w:val="24"/>
          <w:szCs w:val="24"/>
        </w:rPr>
      </w:pPr>
    </w:p>
    <w:p w14:paraId="67D2EEB6" w14:textId="14A4C6DF" w:rsidR="00D71C25" w:rsidRDefault="00B91359" w:rsidP="00014125">
      <w:pPr>
        <w:pStyle w:val="NoSpacing"/>
        <w:rPr>
          <w:sz w:val="24"/>
          <w:szCs w:val="24"/>
        </w:rPr>
      </w:pPr>
      <w:r>
        <w:rPr>
          <w:sz w:val="24"/>
          <w:szCs w:val="24"/>
        </w:rPr>
        <w:t>As a result of this program we’ve reduced the number of</w:t>
      </w:r>
      <w:r w:rsidR="00E83A33">
        <w:rPr>
          <w:sz w:val="24"/>
          <w:szCs w:val="24"/>
        </w:rPr>
        <w:t xml:space="preserve"> high priority</w:t>
      </w:r>
      <w:r w:rsidR="00D80BBD">
        <w:rPr>
          <w:sz w:val="24"/>
          <w:szCs w:val="24"/>
        </w:rPr>
        <w:t xml:space="preserve"> </w:t>
      </w:r>
      <w:r>
        <w:rPr>
          <w:sz w:val="24"/>
          <w:szCs w:val="24"/>
        </w:rPr>
        <w:t xml:space="preserve">technology </w:t>
      </w:r>
      <w:r w:rsidR="007414D3">
        <w:rPr>
          <w:sz w:val="24"/>
          <w:szCs w:val="24"/>
        </w:rPr>
        <w:t>incidents</w:t>
      </w:r>
      <w:r>
        <w:rPr>
          <w:sz w:val="24"/>
          <w:szCs w:val="24"/>
        </w:rPr>
        <w:t xml:space="preserve"> by </w:t>
      </w:r>
      <w:r w:rsidR="00E36C1A">
        <w:rPr>
          <w:sz w:val="24"/>
          <w:szCs w:val="24"/>
        </w:rPr>
        <w:t xml:space="preserve">93%.  </w:t>
      </w:r>
      <w:r>
        <w:rPr>
          <w:sz w:val="24"/>
          <w:szCs w:val="24"/>
        </w:rPr>
        <w:t xml:space="preserve">We’ve </w:t>
      </w:r>
      <w:r w:rsidR="0055137F">
        <w:rPr>
          <w:sz w:val="24"/>
          <w:szCs w:val="24"/>
        </w:rPr>
        <w:t>reduced</w:t>
      </w:r>
      <w:r w:rsidR="00426BC4">
        <w:rPr>
          <w:sz w:val="24"/>
          <w:szCs w:val="24"/>
        </w:rPr>
        <w:t xml:space="preserve"> </w:t>
      </w:r>
      <w:r>
        <w:rPr>
          <w:sz w:val="24"/>
          <w:szCs w:val="24"/>
        </w:rPr>
        <w:t>the average duration of a</w:t>
      </w:r>
      <w:r w:rsidR="00384FFA">
        <w:rPr>
          <w:sz w:val="24"/>
          <w:szCs w:val="24"/>
        </w:rPr>
        <w:t>n</w:t>
      </w:r>
      <w:r>
        <w:rPr>
          <w:sz w:val="24"/>
          <w:szCs w:val="24"/>
        </w:rPr>
        <w:t xml:space="preserve"> </w:t>
      </w:r>
      <w:r w:rsidR="007414D3">
        <w:rPr>
          <w:sz w:val="24"/>
          <w:szCs w:val="24"/>
        </w:rPr>
        <w:t>incident</w:t>
      </w:r>
      <w:r w:rsidR="00AC0B17">
        <w:rPr>
          <w:sz w:val="24"/>
          <w:szCs w:val="24"/>
        </w:rPr>
        <w:t xml:space="preserve"> by</w:t>
      </w:r>
      <w:r>
        <w:rPr>
          <w:sz w:val="24"/>
          <w:szCs w:val="24"/>
        </w:rPr>
        <w:t xml:space="preserve"> </w:t>
      </w:r>
      <w:r w:rsidR="00426BC4">
        <w:rPr>
          <w:sz w:val="24"/>
          <w:szCs w:val="24"/>
        </w:rPr>
        <w:t>nearly half</w:t>
      </w:r>
      <w:r w:rsidR="00993489">
        <w:rPr>
          <w:sz w:val="24"/>
          <w:szCs w:val="24"/>
        </w:rPr>
        <w:t xml:space="preserve">, </w:t>
      </w:r>
      <w:r w:rsidR="007414D3">
        <w:rPr>
          <w:sz w:val="24"/>
          <w:szCs w:val="24"/>
        </w:rPr>
        <w:t xml:space="preserve">with </w:t>
      </w:r>
      <w:r w:rsidR="00BE7359">
        <w:rPr>
          <w:sz w:val="24"/>
          <w:szCs w:val="24"/>
        </w:rPr>
        <w:t>over 40%</w:t>
      </w:r>
      <w:r w:rsidR="007414D3">
        <w:rPr>
          <w:sz w:val="24"/>
          <w:szCs w:val="24"/>
        </w:rPr>
        <w:t xml:space="preserve"> resolved in mere seconds through automation.</w:t>
      </w:r>
      <w:r w:rsidR="00CE5192">
        <w:rPr>
          <w:sz w:val="24"/>
          <w:szCs w:val="24"/>
        </w:rPr>
        <w:t xml:space="preserve"> </w:t>
      </w:r>
      <w:r w:rsidR="007414D3">
        <w:rPr>
          <w:sz w:val="24"/>
          <w:szCs w:val="24"/>
        </w:rPr>
        <w:t xml:space="preserve">  </w:t>
      </w:r>
      <w:r w:rsidR="00CE5192">
        <w:rPr>
          <w:sz w:val="24"/>
          <w:szCs w:val="24"/>
        </w:rPr>
        <w:t>We’ve reset the bar for what operational e</w:t>
      </w:r>
      <w:r w:rsidR="008E1F11">
        <w:rPr>
          <w:sz w:val="24"/>
          <w:szCs w:val="24"/>
        </w:rPr>
        <w:t>fficiency</w:t>
      </w:r>
      <w:r w:rsidR="00CE5192">
        <w:rPr>
          <w:sz w:val="24"/>
          <w:szCs w:val="24"/>
        </w:rPr>
        <w:t xml:space="preserve"> looks like and have done so while simultaneous</w:t>
      </w:r>
      <w:r w:rsidR="00C369F0">
        <w:rPr>
          <w:sz w:val="24"/>
          <w:szCs w:val="24"/>
        </w:rPr>
        <w:t>ly</w:t>
      </w:r>
      <w:r w:rsidR="00CE5192">
        <w:rPr>
          <w:sz w:val="24"/>
          <w:szCs w:val="24"/>
        </w:rPr>
        <w:t xml:space="preserve"> taking out </w:t>
      </w:r>
      <w:r w:rsidR="00CE5192" w:rsidRPr="000B1D30">
        <w:rPr>
          <w:sz w:val="24"/>
          <w:szCs w:val="24"/>
        </w:rPr>
        <w:t xml:space="preserve">over </w:t>
      </w:r>
      <w:r w:rsidR="000B1D30" w:rsidRPr="000B1D30">
        <w:rPr>
          <w:sz w:val="24"/>
          <w:szCs w:val="24"/>
        </w:rPr>
        <w:t xml:space="preserve">$16.5 MM </w:t>
      </w:r>
      <w:r w:rsidR="00CE5192">
        <w:rPr>
          <w:sz w:val="24"/>
          <w:szCs w:val="24"/>
        </w:rPr>
        <w:t>in annual operating expense.</w:t>
      </w:r>
    </w:p>
    <w:p w14:paraId="221C9DFA" w14:textId="77777777" w:rsidR="00D71C25" w:rsidRPr="00993489" w:rsidRDefault="00D71C25" w:rsidP="00014125">
      <w:pPr>
        <w:pStyle w:val="NoSpacing"/>
        <w:rPr>
          <w:sz w:val="24"/>
          <w:szCs w:val="24"/>
        </w:rPr>
      </w:pPr>
    </w:p>
    <w:p w14:paraId="3EE53BD7" w14:textId="77777777" w:rsidR="00014125" w:rsidRPr="00993489" w:rsidRDefault="00D71C25" w:rsidP="00014125">
      <w:pPr>
        <w:pStyle w:val="NoSpacing"/>
        <w:rPr>
          <w:b/>
          <w:sz w:val="24"/>
          <w:szCs w:val="24"/>
        </w:rPr>
      </w:pPr>
      <w:r w:rsidRPr="00993489">
        <w:rPr>
          <w:b/>
          <w:sz w:val="24"/>
          <w:szCs w:val="24"/>
        </w:rPr>
        <w:t>PROJECT DETAILS</w:t>
      </w:r>
    </w:p>
    <w:p w14:paraId="7B356D89" w14:textId="77777777" w:rsidR="00D71C25" w:rsidRDefault="00D71C25" w:rsidP="00B41F02">
      <w:pPr>
        <w:pStyle w:val="NoSpacing"/>
        <w:rPr>
          <w:sz w:val="24"/>
          <w:szCs w:val="24"/>
        </w:rPr>
      </w:pPr>
    </w:p>
    <w:p w14:paraId="4BB81715" w14:textId="132D104E" w:rsidR="00B22D38" w:rsidRPr="00230080" w:rsidRDefault="00D80BBD" w:rsidP="00B41F02">
      <w:pPr>
        <w:pStyle w:val="NoSpacing"/>
        <w:rPr>
          <w:sz w:val="24"/>
          <w:szCs w:val="24"/>
        </w:rPr>
      </w:pPr>
      <w:r>
        <w:rPr>
          <w:sz w:val="24"/>
          <w:szCs w:val="24"/>
        </w:rPr>
        <w:t>Almost two years ago, we chartered this program and</w:t>
      </w:r>
      <w:r w:rsidR="00177820">
        <w:rPr>
          <w:sz w:val="24"/>
          <w:szCs w:val="24"/>
        </w:rPr>
        <w:t xml:space="preserve"> kicked off </w:t>
      </w:r>
      <w:r>
        <w:rPr>
          <w:sz w:val="24"/>
          <w:szCs w:val="24"/>
        </w:rPr>
        <w:t xml:space="preserve">a </w:t>
      </w:r>
      <w:r w:rsidR="0093742B" w:rsidRPr="00230080">
        <w:rPr>
          <w:sz w:val="24"/>
          <w:szCs w:val="24"/>
        </w:rPr>
        <w:t>“</w:t>
      </w:r>
      <w:r w:rsidR="006054DE" w:rsidRPr="00230080">
        <w:rPr>
          <w:sz w:val="24"/>
          <w:szCs w:val="24"/>
        </w:rPr>
        <w:t>100 Day S</w:t>
      </w:r>
      <w:r w:rsidR="00B41F02" w:rsidRPr="00230080">
        <w:rPr>
          <w:sz w:val="24"/>
          <w:szCs w:val="24"/>
        </w:rPr>
        <w:t>print</w:t>
      </w:r>
      <w:r w:rsidR="00177820">
        <w:rPr>
          <w:sz w:val="24"/>
          <w:szCs w:val="24"/>
        </w:rPr>
        <w:t>” to establish a</w:t>
      </w:r>
      <w:r w:rsidR="0093742B" w:rsidRPr="00230080">
        <w:rPr>
          <w:sz w:val="24"/>
          <w:szCs w:val="24"/>
        </w:rPr>
        <w:t xml:space="preserve"> set of quick wins </w:t>
      </w:r>
      <w:r w:rsidR="00177820">
        <w:rPr>
          <w:sz w:val="24"/>
          <w:szCs w:val="24"/>
        </w:rPr>
        <w:t>to</w:t>
      </w:r>
      <w:r w:rsidR="0093742B" w:rsidRPr="00230080">
        <w:rPr>
          <w:sz w:val="24"/>
          <w:szCs w:val="24"/>
        </w:rPr>
        <w:t xml:space="preserve"> set </w:t>
      </w:r>
      <w:r w:rsidR="00B22D38" w:rsidRPr="00230080">
        <w:rPr>
          <w:sz w:val="24"/>
          <w:szCs w:val="24"/>
        </w:rPr>
        <w:t xml:space="preserve">us on a course for </w:t>
      </w:r>
      <w:r w:rsidR="00FE0171">
        <w:rPr>
          <w:sz w:val="24"/>
          <w:szCs w:val="24"/>
        </w:rPr>
        <w:t>improving</w:t>
      </w:r>
      <w:r w:rsidR="00FE0171" w:rsidRPr="00230080">
        <w:rPr>
          <w:sz w:val="24"/>
          <w:szCs w:val="24"/>
        </w:rPr>
        <w:t xml:space="preserve"> </w:t>
      </w:r>
      <w:r w:rsidR="00B22D38" w:rsidRPr="00230080">
        <w:rPr>
          <w:sz w:val="24"/>
          <w:szCs w:val="24"/>
        </w:rPr>
        <w:t xml:space="preserve">operational </w:t>
      </w:r>
      <w:r w:rsidR="00384FFA">
        <w:rPr>
          <w:sz w:val="24"/>
          <w:szCs w:val="24"/>
        </w:rPr>
        <w:t>efficiency</w:t>
      </w:r>
      <w:r w:rsidR="00D71C25">
        <w:rPr>
          <w:sz w:val="24"/>
          <w:szCs w:val="24"/>
        </w:rPr>
        <w:t xml:space="preserve"> </w:t>
      </w:r>
      <w:r w:rsidR="00DC3BB2">
        <w:rPr>
          <w:sz w:val="24"/>
          <w:szCs w:val="24"/>
        </w:rPr>
        <w:t xml:space="preserve">and enabling Bank of America’s </w:t>
      </w:r>
      <w:r w:rsidR="00EF6448">
        <w:rPr>
          <w:sz w:val="24"/>
          <w:szCs w:val="24"/>
        </w:rPr>
        <w:t>digital transformation</w:t>
      </w:r>
      <w:r w:rsidR="00B22D38" w:rsidRPr="00230080">
        <w:rPr>
          <w:sz w:val="24"/>
          <w:szCs w:val="24"/>
        </w:rPr>
        <w:t>.</w:t>
      </w:r>
      <w:r w:rsidR="00C21A96" w:rsidRPr="00230080">
        <w:rPr>
          <w:sz w:val="24"/>
          <w:szCs w:val="24"/>
        </w:rPr>
        <w:t xml:space="preserve"> </w:t>
      </w:r>
      <w:r w:rsidR="00EF6448">
        <w:rPr>
          <w:sz w:val="24"/>
          <w:szCs w:val="24"/>
        </w:rPr>
        <w:t>Fifty</w:t>
      </w:r>
      <w:r w:rsidR="00C21A96" w:rsidRPr="00230080">
        <w:rPr>
          <w:sz w:val="24"/>
          <w:szCs w:val="24"/>
        </w:rPr>
        <w:t xml:space="preserve"> of </w:t>
      </w:r>
      <w:r w:rsidR="00B22D38" w:rsidRPr="00230080">
        <w:rPr>
          <w:sz w:val="24"/>
          <w:szCs w:val="24"/>
        </w:rPr>
        <w:t>our</w:t>
      </w:r>
      <w:r w:rsidR="00C21A96" w:rsidRPr="00230080">
        <w:rPr>
          <w:sz w:val="24"/>
          <w:szCs w:val="24"/>
        </w:rPr>
        <w:t xml:space="preserve"> key operations leaders and practitioners from acro</w:t>
      </w:r>
      <w:r w:rsidR="00B22D38" w:rsidRPr="00230080">
        <w:rPr>
          <w:sz w:val="24"/>
          <w:szCs w:val="24"/>
        </w:rPr>
        <w:t>ss the organization met at a</w:t>
      </w:r>
      <w:r w:rsidR="00AC0B17">
        <w:rPr>
          <w:sz w:val="24"/>
          <w:szCs w:val="24"/>
        </w:rPr>
        <w:t>n off-site location</w:t>
      </w:r>
      <w:r w:rsidR="00993489">
        <w:rPr>
          <w:sz w:val="24"/>
          <w:szCs w:val="24"/>
        </w:rPr>
        <w:t>,</w:t>
      </w:r>
      <w:r w:rsidR="00B22D38" w:rsidRPr="00230080">
        <w:rPr>
          <w:sz w:val="24"/>
          <w:szCs w:val="24"/>
        </w:rPr>
        <w:t xml:space="preserve"> removed from day</w:t>
      </w:r>
      <w:r w:rsidR="00EF6448">
        <w:rPr>
          <w:sz w:val="24"/>
          <w:szCs w:val="24"/>
        </w:rPr>
        <w:t>-</w:t>
      </w:r>
      <w:r w:rsidR="00B22D38" w:rsidRPr="00230080">
        <w:rPr>
          <w:sz w:val="24"/>
          <w:szCs w:val="24"/>
        </w:rPr>
        <w:t>to</w:t>
      </w:r>
      <w:r w:rsidR="00EF6448">
        <w:rPr>
          <w:sz w:val="24"/>
          <w:szCs w:val="24"/>
        </w:rPr>
        <w:t>-</w:t>
      </w:r>
      <w:r w:rsidR="00B22D38" w:rsidRPr="00230080">
        <w:rPr>
          <w:sz w:val="24"/>
          <w:szCs w:val="24"/>
        </w:rPr>
        <w:t>day distractions</w:t>
      </w:r>
      <w:r w:rsidR="00993489">
        <w:rPr>
          <w:sz w:val="24"/>
          <w:szCs w:val="24"/>
        </w:rPr>
        <w:t>,</w:t>
      </w:r>
      <w:r w:rsidR="00B22D38" w:rsidRPr="00230080">
        <w:rPr>
          <w:sz w:val="24"/>
          <w:szCs w:val="24"/>
        </w:rPr>
        <w:t xml:space="preserve"> </w:t>
      </w:r>
      <w:r w:rsidR="00230080">
        <w:rPr>
          <w:sz w:val="24"/>
          <w:szCs w:val="24"/>
        </w:rPr>
        <w:t>to</w:t>
      </w:r>
      <w:r w:rsidR="00B22D38" w:rsidRPr="00230080">
        <w:rPr>
          <w:sz w:val="24"/>
          <w:szCs w:val="24"/>
        </w:rPr>
        <w:t xml:space="preserve"> focus on operational </w:t>
      </w:r>
      <w:r w:rsidR="002C2728">
        <w:rPr>
          <w:sz w:val="24"/>
          <w:szCs w:val="24"/>
        </w:rPr>
        <w:t>efficiency</w:t>
      </w:r>
      <w:r w:rsidR="00B22D38" w:rsidRPr="00230080">
        <w:rPr>
          <w:sz w:val="24"/>
          <w:szCs w:val="24"/>
        </w:rPr>
        <w:t>.</w:t>
      </w:r>
      <w:r w:rsidR="006054DE" w:rsidRPr="00230080">
        <w:rPr>
          <w:sz w:val="24"/>
          <w:szCs w:val="24"/>
        </w:rPr>
        <w:t xml:space="preserve">  After two intense days the team walked away with a set of recommendations </w:t>
      </w:r>
      <w:r w:rsidR="00993489">
        <w:rPr>
          <w:sz w:val="24"/>
          <w:szCs w:val="24"/>
        </w:rPr>
        <w:t>we began to implement</w:t>
      </w:r>
      <w:r w:rsidR="00B22D38" w:rsidRPr="00230080">
        <w:rPr>
          <w:sz w:val="24"/>
          <w:szCs w:val="24"/>
        </w:rPr>
        <w:t xml:space="preserve"> </w:t>
      </w:r>
      <w:r w:rsidR="006054DE" w:rsidRPr="00230080">
        <w:rPr>
          <w:sz w:val="24"/>
          <w:szCs w:val="24"/>
        </w:rPr>
        <w:t xml:space="preserve">over </w:t>
      </w:r>
      <w:r w:rsidR="00B22D38" w:rsidRPr="00230080">
        <w:rPr>
          <w:sz w:val="24"/>
          <w:szCs w:val="24"/>
        </w:rPr>
        <w:t>the course of the next 100 days, including:</w:t>
      </w:r>
      <w:r w:rsidR="000D6045">
        <w:rPr>
          <w:sz w:val="24"/>
          <w:szCs w:val="24"/>
        </w:rPr>
        <w:br/>
      </w:r>
    </w:p>
    <w:p w14:paraId="705A5346" w14:textId="067EEACD" w:rsidR="00B41F02" w:rsidRPr="00230080" w:rsidRDefault="007937E2" w:rsidP="00B22D38">
      <w:pPr>
        <w:pStyle w:val="NoSpacing"/>
        <w:numPr>
          <w:ilvl w:val="0"/>
          <w:numId w:val="1"/>
        </w:numPr>
        <w:rPr>
          <w:sz w:val="24"/>
          <w:szCs w:val="24"/>
        </w:rPr>
      </w:pPr>
      <w:r>
        <w:rPr>
          <w:sz w:val="24"/>
          <w:szCs w:val="24"/>
        </w:rPr>
        <w:t xml:space="preserve">Creating an </w:t>
      </w:r>
      <w:r w:rsidR="00B22D38" w:rsidRPr="00230080">
        <w:rPr>
          <w:sz w:val="24"/>
          <w:szCs w:val="24"/>
        </w:rPr>
        <w:t xml:space="preserve">intelligent alert </w:t>
      </w:r>
      <w:r w:rsidR="00C02A65">
        <w:rPr>
          <w:sz w:val="24"/>
          <w:szCs w:val="24"/>
        </w:rPr>
        <w:t>platform</w:t>
      </w:r>
      <w:r>
        <w:rPr>
          <w:sz w:val="24"/>
          <w:szCs w:val="24"/>
        </w:rPr>
        <w:t xml:space="preserve"> that </w:t>
      </w:r>
      <w:r w:rsidR="00D3309A">
        <w:rPr>
          <w:sz w:val="24"/>
          <w:szCs w:val="24"/>
        </w:rPr>
        <w:t xml:space="preserve">dramatically </w:t>
      </w:r>
      <w:r w:rsidR="00B22D38" w:rsidRPr="00230080">
        <w:rPr>
          <w:sz w:val="24"/>
          <w:szCs w:val="24"/>
        </w:rPr>
        <w:t>reduce</w:t>
      </w:r>
      <w:r>
        <w:rPr>
          <w:sz w:val="24"/>
          <w:szCs w:val="24"/>
        </w:rPr>
        <w:t>d</w:t>
      </w:r>
      <w:r w:rsidR="00B22D38" w:rsidRPr="00230080">
        <w:rPr>
          <w:sz w:val="24"/>
          <w:szCs w:val="24"/>
        </w:rPr>
        <w:t xml:space="preserve"> the number of alerts generated by our system</w:t>
      </w:r>
      <w:r w:rsidR="00384FFA">
        <w:rPr>
          <w:sz w:val="24"/>
          <w:szCs w:val="24"/>
        </w:rPr>
        <w:t>s</w:t>
      </w:r>
      <w:r w:rsidR="00470F68">
        <w:rPr>
          <w:sz w:val="24"/>
          <w:szCs w:val="24"/>
        </w:rPr>
        <w:t xml:space="preserve">.  </w:t>
      </w:r>
      <w:r w:rsidR="00993489">
        <w:rPr>
          <w:sz w:val="24"/>
          <w:szCs w:val="24"/>
        </w:rPr>
        <w:t>This resulted in l</w:t>
      </w:r>
      <w:r w:rsidR="00470F68">
        <w:rPr>
          <w:sz w:val="24"/>
          <w:szCs w:val="24"/>
        </w:rPr>
        <w:t xml:space="preserve">ess time responding to duplicative or erroneous alerts </w:t>
      </w:r>
      <w:r w:rsidR="00993489">
        <w:rPr>
          <w:sz w:val="24"/>
          <w:szCs w:val="24"/>
        </w:rPr>
        <w:t xml:space="preserve">and allowed our engineers more </w:t>
      </w:r>
      <w:r w:rsidR="00470F68">
        <w:rPr>
          <w:sz w:val="24"/>
          <w:szCs w:val="24"/>
        </w:rPr>
        <w:t>time to drive further operational efficiencies.</w:t>
      </w:r>
    </w:p>
    <w:p w14:paraId="54398BAE" w14:textId="4E02737E" w:rsidR="00B22D38" w:rsidRPr="00230080" w:rsidRDefault="00177820" w:rsidP="00B22D38">
      <w:pPr>
        <w:pStyle w:val="NoSpacing"/>
        <w:numPr>
          <w:ilvl w:val="0"/>
          <w:numId w:val="1"/>
        </w:numPr>
        <w:rPr>
          <w:sz w:val="24"/>
          <w:szCs w:val="24"/>
        </w:rPr>
      </w:pPr>
      <w:r>
        <w:rPr>
          <w:sz w:val="24"/>
          <w:szCs w:val="24"/>
        </w:rPr>
        <w:t>Building an</w:t>
      </w:r>
      <w:r w:rsidR="00384FFA">
        <w:rPr>
          <w:sz w:val="24"/>
          <w:szCs w:val="24"/>
        </w:rPr>
        <w:t xml:space="preserve"> automated self-healing platform directly integrated with our technology event management platform and our incident management system of record</w:t>
      </w:r>
      <w:r w:rsidR="00B1554C">
        <w:rPr>
          <w:sz w:val="24"/>
          <w:szCs w:val="24"/>
        </w:rPr>
        <w:t xml:space="preserve"> to ensure</w:t>
      </w:r>
      <w:r w:rsidR="00140F11">
        <w:rPr>
          <w:sz w:val="24"/>
          <w:szCs w:val="24"/>
        </w:rPr>
        <w:t xml:space="preserve"> </w:t>
      </w:r>
      <w:r w:rsidR="00140F11">
        <w:rPr>
          <w:sz w:val="24"/>
          <w:szCs w:val="24"/>
        </w:rPr>
        <w:lastRenderedPageBreak/>
        <w:t xml:space="preserve">immediate action could be taken to fix the issue without requiring </w:t>
      </w:r>
      <w:r w:rsidR="00E304B2">
        <w:rPr>
          <w:sz w:val="24"/>
          <w:szCs w:val="24"/>
        </w:rPr>
        <w:t xml:space="preserve">any </w:t>
      </w:r>
      <w:r w:rsidR="00140F11">
        <w:rPr>
          <w:sz w:val="24"/>
          <w:szCs w:val="24"/>
        </w:rPr>
        <w:t>human intervention.</w:t>
      </w:r>
    </w:p>
    <w:p w14:paraId="3EB077BD" w14:textId="1C6309B5" w:rsidR="00B22D38" w:rsidRPr="00230080" w:rsidRDefault="00230080" w:rsidP="00B22D38">
      <w:pPr>
        <w:pStyle w:val="NoSpacing"/>
        <w:numPr>
          <w:ilvl w:val="0"/>
          <w:numId w:val="1"/>
        </w:numPr>
        <w:rPr>
          <w:sz w:val="24"/>
          <w:szCs w:val="24"/>
        </w:rPr>
      </w:pPr>
      <w:r w:rsidRPr="00230080">
        <w:rPr>
          <w:sz w:val="24"/>
          <w:szCs w:val="24"/>
        </w:rPr>
        <w:t xml:space="preserve">Dedicating additional people to investigate the root cause of our incidents and </w:t>
      </w:r>
      <w:r w:rsidR="00B1554C">
        <w:rPr>
          <w:sz w:val="24"/>
          <w:szCs w:val="24"/>
        </w:rPr>
        <w:t xml:space="preserve">take steps to prevent recurrence, reducing duplicative work. </w:t>
      </w:r>
      <w:r w:rsidR="00993489">
        <w:rPr>
          <w:sz w:val="24"/>
          <w:szCs w:val="24"/>
        </w:rPr>
        <w:t xml:space="preserve"> </w:t>
      </w:r>
    </w:p>
    <w:p w14:paraId="12EE6C39" w14:textId="565294FC" w:rsidR="00230080" w:rsidRPr="00230080" w:rsidRDefault="00230080" w:rsidP="00B22D38">
      <w:pPr>
        <w:pStyle w:val="NoSpacing"/>
        <w:numPr>
          <w:ilvl w:val="0"/>
          <w:numId w:val="1"/>
        </w:numPr>
        <w:rPr>
          <w:sz w:val="24"/>
          <w:szCs w:val="24"/>
        </w:rPr>
      </w:pPr>
      <w:r w:rsidRPr="00230080">
        <w:rPr>
          <w:sz w:val="24"/>
          <w:szCs w:val="24"/>
        </w:rPr>
        <w:t xml:space="preserve">Accelerating our adoption of </w:t>
      </w:r>
      <w:r w:rsidR="00DC3BB2">
        <w:rPr>
          <w:sz w:val="24"/>
          <w:szCs w:val="24"/>
        </w:rPr>
        <w:t>the</w:t>
      </w:r>
      <w:r w:rsidRPr="00230080">
        <w:rPr>
          <w:sz w:val="24"/>
          <w:szCs w:val="24"/>
        </w:rPr>
        <w:t xml:space="preserve"> private cloud </w:t>
      </w:r>
      <w:r w:rsidR="00B1554C">
        <w:rPr>
          <w:sz w:val="24"/>
          <w:szCs w:val="24"/>
        </w:rPr>
        <w:t>to reduce</w:t>
      </w:r>
      <w:r w:rsidRPr="00230080">
        <w:rPr>
          <w:sz w:val="24"/>
          <w:szCs w:val="24"/>
        </w:rPr>
        <w:t xml:space="preserve"> the number of incidents </w:t>
      </w:r>
      <w:r w:rsidR="00DC3BB2">
        <w:rPr>
          <w:sz w:val="24"/>
          <w:szCs w:val="24"/>
        </w:rPr>
        <w:t>as compared to our</w:t>
      </w:r>
      <w:r w:rsidRPr="00230080">
        <w:rPr>
          <w:sz w:val="24"/>
          <w:szCs w:val="24"/>
        </w:rPr>
        <w:t xml:space="preserve"> legacy platforms</w:t>
      </w:r>
      <w:r w:rsidR="00140F11">
        <w:rPr>
          <w:sz w:val="24"/>
          <w:szCs w:val="24"/>
        </w:rPr>
        <w:t xml:space="preserve">.  Going into the 100 Day Sprint we were already well on our way towards migrating legacy platforms into </w:t>
      </w:r>
      <w:r w:rsidR="00684363">
        <w:rPr>
          <w:sz w:val="24"/>
          <w:szCs w:val="24"/>
        </w:rPr>
        <w:t>Bank of America’s</w:t>
      </w:r>
      <w:r w:rsidR="00140F11">
        <w:rPr>
          <w:sz w:val="24"/>
          <w:szCs w:val="24"/>
        </w:rPr>
        <w:t xml:space="preserve"> private cloud, this only further affirmed we were heading in the right direction and needed to stay the course.  </w:t>
      </w:r>
    </w:p>
    <w:p w14:paraId="5FBA8306" w14:textId="77777777" w:rsidR="008F3D53" w:rsidRPr="00230080" w:rsidRDefault="008F3D53" w:rsidP="00014125">
      <w:pPr>
        <w:pStyle w:val="NoSpacing"/>
        <w:rPr>
          <w:b/>
          <w:color w:val="9CC2E5" w:themeColor="accent1" w:themeTint="99"/>
          <w:sz w:val="24"/>
          <w:szCs w:val="24"/>
          <w:u w:val="single"/>
        </w:rPr>
      </w:pPr>
    </w:p>
    <w:p w14:paraId="2FAD3956" w14:textId="3DE2AFE7" w:rsidR="00995F10" w:rsidRDefault="00230080" w:rsidP="008F3D53">
      <w:pPr>
        <w:pStyle w:val="NoSpacing"/>
        <w:rPr>
          <w:sz w:val="24"/>
          <w:szCs w:val="24"/>
        </w:rPr>
      </w:pPr>
      <w:r>
        <w:rPr>
          <w:sz w:val="24"/>
          <w:szCs w:val="24"/>
        </w:rPr>
        <w:t>With the</w:t>
      </w:r>
      <w:r w:rsidR="008F3D53" w:rsidRPr="00230080">
        <w:rPr>
          <w:sz w:val="24"/>
          <w:szCs w:val="24"/>
        </w:rPr>
        <w:t xml:space="preserve"> 100 Day Sprint</w:t>
      </w:r>
      <w:r>
        <w:rPr>
          <w:sz w:val="24"/>
          <w:szCs w:val="24"/>
        </w:rPr>
        <w:t xml:space="preserve"> in-flight we</w:t>
      </w:r>
      <w:r w:rsidR="008F3D53" w:rsidRPr="00230080">
        <w:rPr>
          <w:sz w:val="24"/>
          <w:szCs w:val="24"/>
        </w:rPr>
        <w:t xml:space="preserve"> began to address some of our key process challenges</w:t>
      </w:r>
      <w:r w:rsidR="00140F11">
        <w:rPr>
          <w:sz w:val="24"/>
          <w:szCs w:val="24"/>
        </w:rPr>
        <w:t xml:space="preserve"> and lay the foundation for a dramatic transformation</w:t>
      </w:r>
      <w:r w:rsidR="00177820">
        <w:rPr>
          <w:sz w:val="24"/>
          <w:szCs w:val="24"/>
        </w:rPr>
        <w:t xml:space="preserve">; </w:t>
      </w:r>
      <w:r w:rsidR="00DC3BB2">
        <w:rPr>
          <w:sz w:val="24"/>
          <w:szCs w:val="24"/>
        </w:rPr>
        <w:t>however</w:t>
      </w:r>
      <w:r w:rsidR="00177820">
        <w:rPr>
          <w:sz w:val="24"/>
          <w:szCs w:val="24"/>
        </w:rPr>
        <w:t>,</w:t>
      </w:r>
      <w:r w:rsidR="008F3D53" w:rsidRPr="00230080">
        <w:rPr>
          <w:sz w:val="24"/>
          <w:szCs w:val="24"/>
        </w:rPr>
        <w:t xml:space="preserve"> </w:t>
      </w:r>
      <w:r>
        <w:rPr>
          <w:sz w:val="24"/>
          <w:szCs w:val="24"/>
        </w:rPr>
        <w:t xml:space="preserve">that </w:t>
      </w:r>
      <w:r w:rsidR="008F3D53" w:rsidRPr="00230080">
        <w:rPr>
          <w:sz w:val="24"/>
          <w:szCs w:val="24"/>
        </w:rPr>
        <w:t xml:space="preserve">did not solve for our fragmented operating model.  </w:t>
      </w:r>
      <w:r w:rsidR="00177820">
        <w:rPr>
          <w:sz w:val="24"/>
          <w:szCs w:val="24"/>
        </w:rPr>
        <w:t xml:space="preserve">To </w:t>
      </w:r>
      <w:r w:rsidR="00DC3BB2">
        <w:rPr>
          <w:sz w:val="24"/>
          <w:szCs w:val="24"/>
        </w:rPr>
        <w:t xml:space="preserve">continue driving </w:t>
      </w:r>
      <w:r w:rsidR="008F3D53" w:rsidRPr="00230080">
        <w:rPr>
          <w:sz w:val="24"/>
          <w:szCs w:val="24"/>
        </w:rPr>
        <w:t xml:space="preserve">transformational change and reach the next level of operational </w:t>
      </w:r>
      <w:r w:rsidR="002C2728" w:rsidRPr="00230080">
        <w:rPr>
          <w:sz w:val="24"/>
          <w:szCs w:val="24"/>
        </w:rPr>
        <w:t>e</w:t>
      </w:r>
      <w:r w:rsidR="002C2728">
        <w:rPr>
          <w:sz w:val="24"/>
          <w:szCs w:val="24"/>
        </w:rPr>
        <w:t>fficiency</w:t>
      </w:r>
      <w:r w:rsidR="002C2728" w:rsidRPr="00230080">
        <w:rPr>
          <w:sz w:val="24"/>
          <w:szCs w:val="24"/>
        </w:rPr>
        <w:t xml:space="preserve"> </w:t>
      </w:r>
      <w:r w:rsidR="008F3D53" w:rsidRPr="00230080">
        <w:rPr>
          <w:sz w:val="24"/>
          <w:szCs w:val="24"/>
        </w:rPr>
        <w:t xml:space="preserve">we needed to look at the way our functions were organized.  </w:t>
      </w:r>
    </w:p>
    <w:p w14:paraId="1F37F9AC" w14:textId="77777777" w:rsidR="00995F10" w:rsidRDefault="00995F10" w:rsidP="008F3D53">
      <w:pPr>
        <w:pStyle w:val="NoSpacing"/>
        <w:rPr>
          <w:sz w:val="24"/>
          <w:szCs w:val="24"/>
        </w:rPr>
      </w:pPr>
    </w:p>
    <w:p w14:paraId="11415F7D" w14:textId="0890E394" w:rsidR="0076181E" w:rsidRDefault="008F3D53" w:rsidP="008F3D53">
      <w:pPr>
        <w:pStyle w:val="NoSpacing"/>
        <w:rPr>
          <w:color w:val="000000" w:themeColor="text1"/>
          <w:sz w:val="24"/>
          <w:szCs w:val="24"/>
        </w:rPr>
      </w:pPr>
      <w:r w:rsidRPr="00230080">
        <w:rPr>
          <w:sz w:val="24"/>
          <w:szCs w:val="24"/>
        </w:rPr>
        <w:t xml:space="preserve">We first started by bringing together over </w:t>
      </w:r>
      <w:r w:rsidR="00C45D99">
        <w:rPr>
          <w:color w:val="000000" w:themeColor="text1"/>
          <w:sz w:val="24"/>
          <w:szCs w:val="24"/>
        </w:rPr>
        <w:t>2,800</w:t>
      </w:r>
      <w:r w:rsidR="00C45D99" w:rsidRPr="00230080">
        <w:rPr>
          <w:color w:val="FF0000"/>
          <w:sz w:val="24"/>
          <w:szCs w:val="24"/>
        </w:rPr>
        <w:t xml:space="preserve"> </w:t>
      </w:r>
      <w:r w:rsidRPr="00230080">
        <w:rPr>
          <w:color w:val="000000" w:themeColor="text1"/>
          <w:sz w:val="24"/>
          <w:szCs w:val="24"/>
        </w:rPr>
        <w:t xml:space="preserve">teammates across </w:t>
      </w:r>
      <w:r w:rsidR="00CE48F9" w:rsidRPr="00993489">
        <w:rPr>
          <w:color w:val="000000" w:themeColor="text1"/>
          <w:sz w:val="24"/>
          <w:szCs w:val="24"/>
        </w:rPr>
        <w:t>15</w:t>
      </w:r>
      <w:r w:rsidR="00CE48F9" w:rsidRPr="00230080">
        <w:rPr>
          <w:color w:val="FF0000"/>
          <w:sz w:val="24"/>
          <w:szCs w:val="24"/>
        </w:rPr>
        <w:t xml:space="preserve"> </w:t>
      </w:r>
      <w:r w:rsidRPr="00230080">
        <w:rPr>
          <w:color w:val="000000" w:themeColor="text1"/>
          <w:sz w:val="24"/>
          <w:szCs w:val="24"/>
        </w:rPr>
        <w:t xml:space="preserve">teams to form a single shared infrastructure operations organization.  </w:t>
      </w:r>
      <w:r w:rsidR="00230080">
        <w:rPr>
          <w:color w:val="000000" w:themeColor="text1"/>
          <w:sz w:val="24"/>
          <w:szCs w:val="24"/>
        </w:rPr>
        <w:t xml:space="preserve">We now </w:t>
      </w:r>
      <w:r w:rsidR="00FE0171">
        <w:rPr>
          <w:color w:val="000000" w:themeColor="text1"/>
          <w:sz w:val="24"/>
          <w:szCs w:val="24"/>
        </w:rPr>
        <w:t>have</w:t>
      </w:r>
      <w:r w:rsidR="00230080">
        <w:rPr>
          <w:color w:val="000000" w:themeColor="text1"/>
          <w:sz w:val="24"/>
          <w:szCs w:val="24"/>
        </w:rPr>
        <w:t xml:space="preserve"> leaders responsible for the operation of our server, storage, database, </w:t>
      </w:r>
      <w:r w:rsidR="00E95F9F">
        <w:rPr>
          <w:color w:val="000000" w:themeColor="text1"/>
          <w:sz w:val="24"/>
          <w:szCs w:val="24"/>
        </w:rPr>
        <w:t xml:space="preserve">middleware, mainframe and network environments all within one organization. </w:t>
      </w:r>
    </w:p>
    <w:p w14:paraId="13F8FDE1" w14:textId="77777777" w:rsidR="0076181E" w:rsidRDefault="0076181E" w:rsidP="008F3D53">
      <w:pPr>
        <w:pStyle w:val="NoSpacing"/>
        <w:rPr>
          <w:color w:val="000000" w:themeColor="text1"/>
          <w:sz w:val="24"/>
          <w:szCs w:val="24"/>
        </w:rPr>
      </w:pPr>
    </w:p>
    <w:p w14:paraId="52304E72" w14:textId="7C1FC6F5" w:rsidR="008F3D53" w:rsidRDefault="008F3D53" w:rsidP="008F3D53">
      <w:pPr>
        <w:pStyle w:val="NoSpacing"/>
        <w:rPr>
          <w:color w:val="000000" w:themeColor="text1"/>
          <w:sz w:val="24"/>
          <w:szCs w:val="24"/>
        </w:rPr>
      </w:pPr>
      <w:r w:rsidRPr="00230080">
        <w:rPr>
          <w:color w:val="000000" w:themeColor="text1"/>
          <w:sz w:val="24"/>
          <w:szCs w:val="24"/>
        </w:rPr>
        <w:t xml:space="preserve">With all </w:t>
      </w:r>
      <w:r w:rsidR="005E73BB" w:rsidRPr="00230080">
        <w:rPr>
          <w:color w:val="000000" w:themeColor="text1"/>
          <w:sz w:val="24"/>
          <w:szCs w:val="24"/>
        </w:rPr>
        <w:t xml:space="preserve">of </w:t>
      </w:r>
      <w:r w:rsidRPr="00230080">
        <w:rPr>
          <w:color w:val="000000" w:themeColor="text1"/>
          <w:sz w:val="24"/>
          <w:szCs w:val="24"/>
        </w:rPr>
        <w:t xml:space="preserve">infrastructure operations consolidated into a single organization we </w:t>
      </w:r>
      <w:r w:rsidR="00230080">
        <w:rPr>
          <w:color w:val="000000" w:themeColor="text1"/>
          <w:sz w:val="24"/>
          <w:szCs w:val="24"/>
        </w:rPr>
        <w:t>turned our attention to</w:t>
      </w:r>
      <w:r w:rsidRPr="00230080">
        <w:rPr>
          <w:color w:val="000000" w:themeColor="text1"/>
          <w:sz w:val="24"/>
          <w:szCs w:val="24"/>
        </w:rPr>
        <w:t xml:space="preserve"> </w:t>
      </w:r>
      <w:r w:rsidR="00DC3BB2">
        <w:rPr>
          <w:color w:val="000000" w:themeColor="text1"/>
          <w:sz w:val="24"/>
          <w:szCs w:val="24"/>
        </w:rPr>
        <w:t>the</w:t>
      </w:r>
      <w:r w:rsidRPr="00230080">
        <w:rPr>
          <w:color w:val="000000" w:themeColor="text1"/>
          <w:sz w:val="24"/>
          <w:szCs w:val="24"/>
        </w:rPr>
        <w:t xml:space="preserve"> support </w:t>
      </w:r>
      <w:r w:rsidR="00DC3BB2">
        <w:rPr>
          <w:color w:val="000000" w:themeColor="text1"/>
          <w:sz w:val="24"/>
          <w:szCs w:val="24"/>
        </w:rPr>
        <w:t xml:space="preserve">of </w:t>
      </w:r>
      <w:r w:rsidRPr="00230080">
        <w:rPr>
          <w:color w:val="000000" w:themeColor="text1"/>
          <w:sz w:val="24"/>
          <w:szCs w:val="24"/>
        </w:rPr>
        <w:t>our applications</w:t>
      </w:r>
      <w:r w:rsidR="00DC7F52" w:rsidRPr="00230080">
        <w:rPr>
          <w:color w:val="000000" w:themeColor="text1"/>
          <w:sz w:val="24"/>
          <w:szCs w:val="24"/>
        </w:rPr>
        <w:t xml:space="preserve">, the remainder of </w:t>
      </w:r>
      <w:r w:rsidR="00DC3BB2">
        <w:rPr>
          <w:color w:val="000000" w:themeColor="text1"/>
          <w:sz w:val="24"/>
          <w:szCs w:val="24"/>
        </w:rPr>
        <w:t xml:space="preserve">the </w:t>
      </w:r>
      <w:r w:rsidR="00DC7F52" w:rsidRPr="00230080">
        <w:rPr>
          <w:color w:val="000000" w:themeColor="text1"/>
          <w:sz w:val="24"/>
          <w:szCs w:val="24"/>
        </w:rPr>
        <w:t>technology estate</w:t>
      </w:r>
      <w:r w:rsidRPr="00230080">
        <w:rPr>
          <w:color w:val="000000" w:themeColor="text1"/>
          <w:sz w:val="24"/>
          <w:szCs w:val="24"/>
        </w:rPr>
        <w:t xml:space="preserve">.  </w:t>
      </w:r>
      <w:r w:rsidR="00140F11">
        <w:rPr>
          <w:color w:val="000000" w:themeColor="text1"/>
          <w:sz w:val="24"/>
          <w:szCs w:val="24"/>
        </w:rPr>
        <w:t>The support of our production applications</w:t>
      </w:r>
      <w:r w:rsidR="00EF6448" w:rsidRPr="00230080">
        <w:rPr>
          <w:color w:val="000000" w:themeColor="text1"/>
          <w:sz w:val="24"/>
          <w:szCs w:val="24"/>
        </w:rPr>
        <w:t xml:space="preserve"> </w:t>
      </w:r>
      <w:r w:rsidR="00FE0171">
        <w:rPr>
          <w:color w:val="000000" w:themeColor="text1"/>
          <w:sz w:val="24"/>
          <w:szCs w:val="24"/>
        </w:rPr>
        <w:t>were</w:t>
      </w:r>
      <w:r w:rsidRPr="00230080">
        <w:rPr>
          <w:color w:val="000000" w:themeColor="text1"/>
          <w:sz w:val="24"/>
          <w:szCs w:val="24"/>
        </w:rPr>
        <w:t xml:space="preserve"> divided across </w:t>
      </w:r>
      <w:r w:rsidR="00B1554C">
        <w:rPr>
          <w:color w:val="000000" w:themeColor="text1"/>
          <w:sz w:val="24"/>
          <w:szCs w:val="24"/>
        </w:rPr>
        <w:t>seven</w:t>
      </w:r>
      <w:r w:rsidR="00E36175" w:rsidRPr="00230080">
        <w:rPr>
          <w:color w:val="FF0000"/>
          <w:sz w:val="24"/>
          <w:szCs w:val="24"/>
        </w:rPr>
        <w:t xml:space="preserve"> </w:t>
      </w:r>
      <w:r w:rsidR="00DC7F52" w:rsidRPr="00230080">
        <w:rPr>
          <w:color w:val="000000" w:themeColor="text1"/>
          <w:sz w:val="24"/>
          <w:szCs w:val="24"/>
        </w:rPr>
        <w:t xml:space="preserve">organizations </w:t>
      </w:r>
      <w:r w:rsidR="005E73BB" w:rsidRPr="00230080">
        <w:rPr>
          <w:color w:val="000000" w:themeColor="text1"/>
          <w:sz w:val="24"/>
          <w:szCs w:val="24"/>
        </w:rPr>
        <w:t xml:space="preserve">which made driving further operational </w:t>
      </w:r>
      <w:r w:rsidR="002C2728">
        <w:rPr>
          <w:color w:val="000000" w:themeColor="text1"/>
          <w:sz w:val="24"/>
          <w:szCs w:val="24"/>
        </w:rPr>
        <w:t>efficiency</w:t>
      </w:r>
      <w:r w:rsidR="002C2728" w:rsidRPr="00230080">
        <w:rPr>
          <w:color w:val="000000" w:themeColor="text1"/>
          <w:sz w:val="24"/>
          <w:szCs w:val="24"/>
        </w:rPr>
        <w:t xml:space="preserve"> </w:t>
      </w:r>
      <w:r w:rsidR="005E73BB" w:rsidRPr="00230080">
        <w:rPr>
          <w:color w:val="000000" w:themeColor="text1"/>
          <w:sz w:val="24"/>
          <w:szCs w:val="24"/>
        </w:rPr>
        <w:t xml:space="preserve">more difficult.  </w:t>
      </w:r>
      <w:r w:rsidR="0076181E">
        <w:rPr>
          <w:color w:val="000000" w:themeColor="text1"/>
          <w:sz w:val="24"/>
          <w:szCs w:val="24"/>
        </w:rPr>
        <w:t xml:space="preserve">We outlined a vision to create a </w:t>
      </w:r>
      <w:r w:rsidR="0076181E" w:rsidRPr="0076181E">
        <w:rPr>
          <w:color w:val="000000" w:themeColor="text1"/>
          <w:sz w:val="24"/>
          <w:szCs w:val="24"/>
        </w:rPr>
        <w:t xml:space="preserve">horizontal, enterprise-wide Application Production Services </w:t>
      </w:r>
      <w:r w:rsidR="0076181E">
        <w:rPr>
          <w:color w:val="000000" w:themeColor="text1"/>
          <w:sz w:val="24"/>
          <w:szCs w:val="24"/>
        </w:rPr>
        <w:t>c</w:t>
      </w:r>
      <w:r w:rsidR="0076181E" w:rsidRPr="0076181E">
        <w:rPr>
          <w:color w:val="000000" w:themeColor="text1"/>
          <w:sz w:val="24"/>
          <w:szCs w:val="24"/>
        </w:rPr>
        <w:t xml:space="preserve">apability to improve operating </w:t>
      </w:r>
      <w:r w:rsidR="00E304B2" w:rsidRPr="0076181E">
        <w:rPr>
          <w:color w:val="000000" w:themeColor="text1"/>
          <w:sz w:val="24"/>
          <w:szCs w:val="24"/>
        </w:rPr>
        <w:t>efficienc</w:t>
      </w:r>
      <w:r w:rsidR="00E304B2">
        <w:rPr>
          <w:color w:val="000000" w:themeColor="text1"/>
          <w:sz w:val="24"/>
          <w:szCs w:val="24"/>
        </w:rPr>
        <w:t>y</w:t>
      </w:r>
      <w:r w:rsidR="00E304B2" w:rsidRPr="0076181E">
        <w:rPr>
          <w:color w:val="000000" w:themeColor="text1"/>
          <w:sz w:val="24"/>
          <w:szCs w:val="24"/>
        </w:rPr>
        <w:t xml:space="preserve"> </w:t>
      </w:r>
      <w:r w:rsidR="0076181E" w:rsidRPr="0076181E">
        <w:rPr>
          <w:color w:val="000000" w:themeColor="text1"/>
          <w:sz w:val="24"/>
          <w:szCs w:val="24"/>
        </w:rPr>
        <w:t>and meet business service level requirements</w:t>
      </w:r>
      <w:r w:rsidR="0076181E">
        <w:rPr>
          <w:color w:val="000000" w:themeColor="text1"/>
          <w:sz w:val="24"/>
          <w:szCs w:val="24"/>
        </w:rPr>
        <w:t xml:space="preserve">.  We identified over 5,000 people globally </w:t>
      </w:r>
      <w:r w:rsidR="00F20161">
        <w:rPr>
          <w:color w:val="000000" w:themeColor="text1"/>
          <w:sz w:val="24"/>
          <w:szCs w:val="24"/>
        </w:rPr>
        <w:t>who would move out of the</w:t>
      </w:r>
      <w:r w:rsidR="00BC4AA6">
        <w:rPr>
          <w:color w:val="000000" w:themeColor="text1"/>
          <w:sz w:val="24"/>
          <w:szCs w:val="24"/>
        </w:rPr>
        <w:t>ir</w:t>
      </w:r>
      <w:r w:rsidR="00B1554C">
        <w:rPr>
          <w:color w:val="000000" w:themeColor="text1"/>
          <w:sz w:val="24"/>
          <w:szCs w:val="24"/>
        </w:rPr>
        <w:t xml:space="preserve"> vertical organizations and come together to form a</w:t>
      </w:r>
      <w:r w:rsidR="00F20161">
        <w:rPr>
          <w:color w:val="000000" w:themeColor="text1"/>
          <w:sz w:val="24"/>
          <w:szCs w:val="24"/>
        </w:rPr>
        <w:t xml:space="preserve"> horizontal function.  </w:t>
      </w:r>
      <w:r w:rsidR="00FE0171">
        <w:rPr>
          <w:color w:val="000000" w:themeColor="text1"/>
          <w:sz w:val="24"/>
          <w:szCs w:val="24"/>
        </w:rPr>
        <w:t>This resulted in the formation of</w:t>
      </w:r>
      <w:r w:rsidR="00BC4AA6">
        <w:rPr>
          <w:color w:val="000000" w:themeColor="text1"/>
          <w:sz w:val="24"/>
          <w:szCs w:val="24"/>
        </w:rPr>
        <w:t xml:space="preserve"> a single organization responsible for the operation of Bank of America’s technology</w:t>
      </w:r>
      <w:r w:rsidR="005C02E4">
        <w:rPr>
          <w:color w:val="000000" w:themeColor="text1"/>
          <w:sz w:val="24"/>
          <w:szCs w:val="24"/>
        </w:rPr>
        <w:t>—infrastructure and applications</w:t>
      </w:r>
      <w:r w:rsidR="00BC4AA6">
        <w:rPr>
          <w:color w:val="000000" w:themeColor="text1"/>
          <w:sz w:val="24"/>
          <w:szCs w:val="24"/>
        </w:rPr>
        <w:t xml:space="preserve">.  </w:t>
      </w:r>
    </w:p>
    <w:p w14:paraId="223E3D9D" w14:textId="77777777" w:rsidR="005C02E4" w:rsidRDefault="005C02E4" w:rsidP="008F3D53">
      <w:pPr>
        <w:pStyle w:val="NoSpacing"/>
        <w:rPr>
          <w:color w:val="000000" w:themeColor="text1"/>
          <w:sz w:val="24"/>
          <w:szCs w:val="24"/>
        </w:rPr>
      </w:pPr>
    </w:p>
    <w:p w14:paraId="0348F864" w14:textId="5C909D8C" w:rsidR="00B1554C" w:rsidRDefault="00627CF1" w:rsidP="008F3D53">
      <w:pPr>
        <w:pStyle w:val="NoSpacing"/>
        <w:rPr>
          <w:color w:val="000000" w:themeColor="text1"/>
          <w:sz w:val="24"/>
          <w:szCs w:val="24"/>
        </w:rPr>
      </w:pPr>
      <w:r>
        <w:rPr>
          <w:color w:val="000000" w:themeColor="text1"/>
          <w:sz w:val="24"/>
          <w:szCs w:val="24"/>
        </w:rPr>
        <w:t xml:space="preserve">We now had all of the components in place to </w:t>
      </w:r>
      <w:r w:rsidR="00CD5196">
        <w:rPr>
          <w:color w:val="000000" w:themeColor="text1"/>
          <w:sz w:val="24"/>
          <w:szCs w:val="24"/>
        </w:rPr>
        <w:t xml:space="preserve">accelerate our </w:t>
      </w:r>
      <w:r w:rsidR="002C2728">
        <w:rPr>
          <w:color w:val="000000" w:themeColor="text1"/>
          <w:sz w:val="24"/>
          <w:szCs w:val="24"/>
        </w:rPr>
        <w:t xml:space="preserve">operational and digital </w:t>
      </w:r>
      <w:r w:rsidR="00B1554C">
        <w:rPr>
          <w:color w:val="000000" w:themeColor="text1"/>
          <w:sz w:val="24"/>
          <w:szCs w:val="24"/>
        </w:rPr>
        <w:t xml:space="preserve">transformation, but </w:t>
      </w:r>
      <w:r w:rsidR="00AC0B17">
        <w:rPr>
          <w:color w:val="000000" w:themeColor="text1"/>
          <w:sz w:val="24"/>
          <w:szCs w:val="24"/>
        </w:rPr>
        <w:t xml:space="preserve">needed </w:t>
      </w:r>
      <w:r w:rsidR="00B1554C">
        <w:rPr>
          <w:color w:val="000000" w:themeColor="text1"/>
          <w:sz w:val="24"/>
          <w:szCs w:val="24"/>
        </w:rPr>
        <w:t>to create a</w:t>
      </w:r>
      <w:r w:rsidR="00CD5196">
        <w:rPr>
          <w:color w:val="000000" w:themeColor="text1"/>
          <w:sz w:val="24"/>
          <w:szCs w:val="24"/>
        </w:rPr>
        <w:t xml:space="preserve"> sustainable method to drive </w:t>
      </w:r>
      <w:r w:rsidR="00995F10">
        <w:rPr>
          <w:color w:val="000000" w:themeColor="text1"/>
          <w:sz w:val="24"/>
          <w:szCs w:val="24"/>
        </w:rPr>
        <w:t>it forward</w:t>
      </w:r>
      <w:r w:rsidR="00CD5196">
        <w:rPr>
          <w:color w:val="000000" w:themeColor="text1"/>
          <w:sz w:val="24"/>
          <w:szCs w:val="24"/>
        </w:rPr>
        <w:t>.  We needed to bring together employees from across the organization, many of whom h</w:t>
      </w:r>
      <w:r w:rsidR="00995F10">
        <w:rPr>
          <w:color w:val="000000" w:themeColor="text1"/>
          <w:sz w:val="24"/>
          <w:szCs w:val="24"/>
        </w:rPr>
        <w:t>ad never worked together before, and</w:t>
      </w:r>
      <w:r w:rsidR="00CD5196">
        <w:rPr>
          <w:color w:val="000000" w:themeColor="text1"/>
          <w:sz w:val="24"/>
          <w:szCs w:val="24"/>
        </w:rPr>
        <w:t xml:space="preserve"> show continuous progress and to respond to changes around us.  We </w:t>
      </w:r>
      <w:r w:rsidR="00172374">
        <w:rPr>
          <w:color w:val="000000" w:themeColor="text1"/>
          <w:sz w:val="24"/>
          <w:szCs w:val="24"/>
        </w:rPr>
        <w:t xml:space="preserve">needed a way to sustain the transformational energy for years to come.  </w:t>
      </w:r>
    </w:p>
    <w:p w14:paraId="0D856545" w14:textId="77777777" w:rsidR="00B1554C" w:rsidRDefault="00B1554C" w:rsidP="008F3D53">
      <w:pPr>
        <w:pStyle w:val="NoSpacing"/>
        <w:rPr>
          <w:color w:val="000000" w:themeColor="text1"/>
          <w:sz w:val="24"/>
          <w:szCs w:val="24"/>
        </w:rPr>
      </w:pPr>
    </w:p>
    <w:p w14:paraId="48CE6D7A" w14:textId="27577905" w:rsidR="005C02E4" w:rsidRDefault="001962AC" w:rsidP="008F3D53">
      <w:pPr>
        <w:pStyle w:val="NoSpacing"/>
        <w:rPr>
          <w:color w:val="000000" w:themeColor="text1"/>
          <w:sz w:val="24"/>
          <w:szCs w:val="24"/>
        </w:rPr>
      </w:pPr>
      <w:r>
        <w:rPr>
          <w:color w:val="000000" w:themeColor="text1"/>
          <w:sz w:val="24"/>
          <w:szCs w:val="24"/>
        </w:rPr>
        <w:t xml:space="preserve">To solve for this final component we </w:t>
      </w:r>
      <w:r w:rsidR="00FE0171">
        <w:rPr>
          <w:color w:val="000000" w:themeColor="text1"/>
          <w:sz w:val="24"/>
          <w:szCs w:val="24"/>
        </w:rPr>
        <w:t>leveraged techniques</w:t>
      </w:r>
      <w:r>
        <w:rPr>
          <w:color w:val="000000" w:themeColor="text1"/>
          <w:sz w:val="24"/>
          <w:szCs w:val="24"/>
        </w:rPr>
        <w:t xml:space="preserve"> from </w:t>
      </w:r>
      <w:r w:rsidR="00FE0171">
        <w:rPr>
          <w:color w:val="000000" w:themeColor="text1"/>
          <w:sz w:val="24"/>
          <w:szCs w:val="24"/>
        </w:rPr>
        <w:t xml:space="preserve">our </w:t>
      </w:r>
      <w:r>
        <w:rPr>
          <w:color w:val="000000" w:themeColor="text1"/>
          <w:sz w:val="24"/>
          <w:szCs w:val="24"/>
        </w:rPr>
        <w:t xml:space="preserve">software development </w:t>
      </w:r>
      <w:r w:rsidR="00066F33">
        <w:rPr>
          <w:color w:val="000000" w:themeColor="text1"/>
          <w:sz w:val="24"/>
          <w:szCs w:val="24"/>
        </w:rPr>
        <w:t>teammates</w:t>
      </w:r>
      <w:r>
        <w:rPr>
          <w:color w:val="000000" w:themeColor="text1"/>
          <w:sz w:val="24"/>
          <w:szCs w:val="24"/>
        </w:rPr>
        <w:t xml:space="preserve">.  Our </w:t>
      </w:r>
      <w:r w:rsidR="00AC0B17">
        <w:rPr>
          <w:color w:val="000000" w:themeColor="text1"/>
          <w:sz w:val="24"/>
          <w:szCs w:val="24"/>
        </w:rPr>
        <w:t xml:space="preserve">software </w:t>
      </w:r>
      <w:r>
        <w:rPr>
          <w:color w:val="000000" w:themeColor="text1"/>
          <w:sz w:val="24"/>
          <w:szCs w:val="24"/>
        </w:rPr>
        <w:t xml:space="preserve">developers had adopted </w:t>
      </w:r>
      <w:r w:rsidR="00AC0B17">
        <w:rPr>
          <w:color w:val="000000" w:themeColor="text1"/>
          <w:sz w:val="24"/>
          <w:szCs w:val="24"/>
        </w:rPr>
        <w:t xml:space="preserve">the </w:t>
      </w:r>
      <w:r w:rsidR="00995F10">
        <w:rPr>
          <w:color w:val="000000" w:themeColor="text1"/>
          <w:sz w:val="24"/>
          <w:szCs w:val="24"/>
        </w:rPr>
        <w:t xml:space="preserve">Agile methodology, </w:t>
      </w:r>
      <w:r>
        <w:rPr>
          <w:color w:val="000000" w:themeColor="text1"/>
          <w:sz w:val="24"/>
          <w:szCs w:val="24"/>
        </w:rPr>
        <w:t xml:space="preserve">a set of widely accepted principles that encouraged self-forming teams, enabled continuous improvement and allowed for </w:t>
      </w:r>
      <w:r w:rsidR="00B1554C">
        <w:rPr>
          <w:color w:val="000000" w:themeColor="text1"/>
          <w:sz w:val="24"/>
          <w:szCs w:val="24"/>
        </w:rPr>
        <w:t xml:space="preserve">sustainable delivery.  </w:t>
      </w:r>
      <w:r w:rsidR="00AC0B17">
        <w:rPr>
          <w:color w:val="000000" w:themeColor="text1"/>
          <w:sz w:val="24"/>
          <w:szCs w:val="24"/>
        </w:rPr>
        <w:t xml:space="preserve">We </w:t>
      </w:r>
      <w:r>
        <w:rPr>
          <w:color w:val="000000" w:themeColor="text1"/>
          <w:sz w:val="24"/>
          <w:szCs w:val="24"/>
        </w:rPr>
        <w:t>found by taking the core</w:t>
      </w:r>
      <w:r w:rsidR="00AC0B17">
        <w:rPr>
          <w:color w:val="000000" w:themeColor="text1"/>
          <w:sz w:val="24"/>
          <w:szCs w:val="24"/>
        </w:rPr>
        <w:t xml:space="preserve"> Agile</w:t>
      </w:r>
      <w:r>
        <w:rPr>
          <w:color w:val="000000" w:themeColor="text1"/>
          <w:sz w:val="24"/>
          <w:szCs w:val="24"/>
        </w:rPr>
        <w:t xml:space="preserve"> principles and applying them to </w:t>
      </w:r>
      <w:r w:rsidR="002C2728">
        <w:rPr>
          <w:color w:val="000000" w:themeColor="text1"/>
          <w:sz w:val="24"/>
          <w:szCs w:val="24"/>
        </w:rPr>
        <w:t xml:space="preserve">technology operations </w:t>
      </w:r>
      <w:r>
        <w:rPr>
          <w:color w:val="000000" w:themeColor="text1"/>
          <w:sz w:val="24"/>
          <w:szCs w:val="24"/>
        </w:rPr>
        <w:t>transformation we cou</w:t>
      </w:r>
      <w:r w:rsidR="006B106C">
        <w:rPr>
          <w:color w:val="000000" w:themeColor="text1"/>
          <w:sz w:val="24"/>
          <w:szCs w:val="24"/>
        </w:rPr>
        <w:t xml:space="preserve">ld accelerate our delivery and provide the flexibility required to enable long-term sustainable transformation.  </w:t>
      </w:r>
      <w:r w:rsidR="00DC3BB2">
        <w:rPr>
          <w:color w:val="000000" w:themeColor="text1"/>
          <w:sz w:val="24"/>
          <w:szCs w:val="24"/>
        </w:rPr>
        <w:t>I</w:t>
      </w:r>
      <w:r w:rsidR="006B106C">
        <w:rPr>
          <w:color w:val="000000" w:themeColor="text1"/>
          <w:sz w:val="24"/>
          <w:szCs w:val="24"/>
        </w:rPr>
        <w:t xml:space="preserve">n addition to developing code </w:t>
      </w:r>
      <w:r w:rsidR="00DC3BB2">
        <w:rPr>
          <w:color w:val="000000" w:themeColor="text1"/>
          <w:sz w:val="24"/>
          <w:szCs w:val="24"/>
        </w:rPr>
        <w:t xml:space="preserve">in Python, Java or C++ </w:t>
      </w:r>
      <w:r w:rsidR="006B106C">
        <w:rPr>
          <w:color w:val="000000" w:themeColor="text1"/>
          <w:sz w:val="24"/>
          <w:szCs w:val="24"/>
        </w:rPr>
        <w:t>our “developers</w:t>
      </w:r>
      <w:r w:rsidR="00995F10">
        <w:rPr>
          <w:color w:val="000000" w:themeColor="text1"/>
          <w:sz w:val="24"/>
          <w:szCs w:val="24"/>
        </w:rPr>
        <w:t>,</w:t>
      </w:r>
      <w:r w:rsidR="006B106C">
        <w:rPr>
          <w:color w:val="000000" w:themeColor="text1"/>
          <w:sz w:val="24"/>
          <w:szCs w:val="24"/>
        </w:rPr>
        <w:t>”</w:t>
      </w:r>
      <w:r w:rsidR="00995F10">
        <w:rPr>
          <w:color w:val="000000" w:themeColor="text1"/>
          <w:sz w:val="24"/>
          <w:szCs w:val="24"/>
        </w:rPr>
        <w:t xml:space="preserve"> </w:t>
      </w:r>
      <w:r w:rsidR="00DC3BB2">
        <w:rPr>
          <w:color w:val="000000" w:themeColor="text1"/>
          <w:sz w:val="24"/>
          <w:szCs w:val="24"/>
        </w:rPr>
        <w:t xml:space="preserve">now a broader term used for anyone </w:t>
      </w:r>
      <w:r w:rsidR="00DC3BB2">
        <w:rPr>
          <w:color w:val="000000" w:themeColor="text1"/>
          <w:sz w:val="24"/>
          <w:szCs w:val="24"/>
        </w:rPr>
        <w:lastRenderedPageBreak/>
        <w:t xml:space="preserve">involved in driving our operational </w:t>
      </w:r>
      <w:r w:rsidR="002C2728">
        <w:rPr>
          <w:color w:val="000000" w:themeColor="text1"/>
          <w:sz w:val="24"/>
          <w:szCs w:val="24"/>
        </w:rPr>
        <w:t xml:space="preserve">and digital </w:t>
      </w:r>
      <w:r w:rsidR="00DC3BB2">
        <w:rPr>
          <w:color w:val="000000" w:themeColor="text1"/>
          <w:sz w:val="24"/>
          <w:szCs w:val="24"/>
        </w:rPr>
        <w:t>transformation,</w:t>
      </w:r>
      <w:r w:rsidR="006B106C">
        <w:rPr>
          <w:color w:val="000000" w:themeColor="text1"/>
          <w:sz w:val="24"/>
          <w:szCs w:val="24"/>
        </w:rPr>
        <w:t xml:space="preserve"> we</w:t>
      </w:r>
      <w:r w:rsidR="00DC3BB2">
        <w:rPr>
          <w:color w:val="000000" w:themeColor="text1"/>
          <w:sz w:val="24"/>
          <w:szCs w:val="24"/>
        </w:rPr>
        <w:t xml:space="preserve">re </w:t>
      </w:r>
      <w:r w:rsidR="006B106C">
        <w:rPr>
          <w:color w:val="000000" w:themeColor="text1"/>
          <w:sz w:val="24"/>
          <w:szCs w:val="24"/>
        </w:rPr>
        <w:t xml:space="preserve">developing changes to </w:t>
      </w:r>
      <w:r w:rsidR="00FE0171">
        <w:rPr>
          <w:color w:val="000000" w:themeColor="text1"/>
          <w:sz w:val="24"/>
          <w:szCs w:val="24"/>
        </w:rPr>
        <w:t>organizations</w:t>
      </w:r>
      <w:r w:rsidR="006B106C">
        <w:rPr>
          <w:color w:val="000000" w:themeColor="text1"/>
          <w:sz w:val="24"/>
          <w:szCs w:val="24"/>
        </w:rPr>
        <w:t>, process</w:t>
      </w:r>
      <w:r w:rsidR="00FE0171">
        <w:rPr>
          <w:color w:val="000000" w:themeColor="text1"/>
          <w:sz w:val="24"/>
          <w:szCs w:val="24"/>
        </w:rPr>
        <w:t>es</w:t>
      </w:r>
      <w:r w:rsidR="006B106C">
        <w:rPr>
          <w:color w:val="000000" w:themeColor="text1"/>
          <w:sz w:val="24"/>
          <w:szCs w:val="24"/>
        </w:rPr>
        <w:t xml:space="preserve"> and tools</w:t>
      </w:r>
      <w:r w:rsidR="00FE0171">
        <w:rPr>
          <w:color w:val="000000" w:themeColor="text1"/>
          <w:sz w:val="24"/>
          <w:szCs w:val="24"/>
        </w:rPr>
        <w:t>,</w:t>
      </w:r>
      <w:r w:rsidR="006B106C">
        <w:rPr>
          <w:color w:val="000000" w:themeColor="text1"/>
          <w:sz w:val="24"/>
          <w:szCs w:val="24"/>
        </w:rPr>
        <w:t xml:space="preserve"> the necessary elements of any </w:t>
      </w:r>
      <w:r w:rsidR="0095030C">
        <w:rPr>
          <w:color w:val="000000" w:themeColor="text1"/>
          <w:sz w:val="24"/>
          <w:szCs w:val="24"/>
        </w:rPr>
        <w:t>technology</w:t>
      </w:r>
      <w:r w:rsidR="006B106C">
        <w:rPr>
          <w:color w:val="000000" w:themeColor="text1"/>
          <w:sz w:val="24"/>
          <w:szCs w:val="24"/>
        </w:rPr>
        <w:t xml:space="preserve"> transformation.</w:t>
      </w:r>
    </w:p>
    <w:p w14:paraId="324AB910" w14:textId="77777777" w:rsidR="006B106C" w:rsidRDefault="006B106C" w:rsidP="008F3D53">
      <w:pPr>
        <w:pStyle w:val="NoSpacing"/>
        <w:rPr>
          <w:color w:val="000000" w:themeColor="text1"/>
          <w:sz w:val="24"/>
          <w:szCs w:val="24"/>
        </w:rPr>
      </w:pPr>
    </w:p>
    <w:p w14:paraId="77AA692F" w14:textId="6251BD5F" w:rsidR="00BC23D6" w:rsidRDefault="00B1554C" w:rsidP="008F3D53">
      <w:pPr>
        <w:pStyle w:val="NoSpacing"/>
        <w:rPr>
          <w:color w:val="000000" w:themeColor="text1"/>
          <w:sz w:val="24"/>
          <w:szCs w:val="24"/>
        </w:rPr>
      </w:pPr>
      <w:r>
        <w:rPr>
          <w:color w:val="000000" w:themeColor="text1"/>
          <w:sz w:val="24"/>
          <w:szCs w:val="24"/>
        </w:rPr>
        <w:t>Through our A</w:t>
      </w:r>
      <w:r w:rsidR="00BC23D6">
        <w:rPr>
          <w:color w:val="000000" w:themeColor="text1"/>
          <w:sz w:val="24"/>
          <w:szCs w:val="24"/>
        </w:rPr>
        <w:t xml:space="preserve">gile routines </w:t>
      </w:r>
      <w:r w:rsidR="00E9019B">
        <w:rPr>
          <w:color w:val="000000" w:themeColor="text1"/>
          <w:sz w:val="24"/>
          <w:szCs w:val="24"/>
        </w:rPr>
        <w:t xml:space="preserve">we </w:t>
      </w:r>
      <w:r>
        <w:rPr>
          <w:color w:val="000000" w:themeColor="text1"/>
          <w:sz w:val="24"/>
          <w:szCs w:val="24"/>
        </w:rPr>
        <w:t>selected</w:t>
      </w:r>
      <w:r w:rsidR="00BC23D6">
        <w:rPr>
          <w:color w:val="000000" w:themeColor="text1"/>
          <w:sz w:val="24"/>
          <w:szCs w:val="24"/>
        </w:rPr>
        <w:t xml:space="preserve"> a set of “stories” or improvements to </w:t>
      </w:r>
      <w:r w:rsidR="00DC3BB2">
        <w:rPr>
          <w:color w:val="000000" w:themeColor="text1"/>
          <w:sz w:val="24"/>
          <w:szCs w:val="24"/>
        </w:rPr>
        <w:t>develop and then implement</w:t>
      </w:r>
      <w:r w:rsidR="00E9019B">
        <w:rPr>
          <w:color w:val="000000" w:themeColor="text1"/>
          <w:sz w:val="24"/>
          <w:szCs w:val="24"/>
        </w:rPr>
        <w:t xml:space="preserve"> every two weeks</w:t>
      </w:r>
      <w:r w:rsidR="00BC23D6">
        <w:rPr>
          <w:color w:val="000000" w:themeColor="text1"/>
          <w:sz w:val="24"/>
          <w:szCs w:val="24"/>
        </w:rPr>
        <w:t xml:space="preserve">.  Some stories would stand by themselves and would allow for quick wins, others were part of a larger effort or an “epic”.  </w:t>
      </w:r>
    </w:p>
    <w:p w14:paraId="06E22CF3" w14:textId="77777777" w:rsidR="000D6045" w:rsidRDefault="000D6045" w:rsidP="008F3D53">
      <w:pPr>
        <w:pStyle w:val="NoSpacing"/>
        <w:rPr>
          <w:color w:val="000000" w:themeColor="text1"/>
          <w:sz w:val="24"/>
          <w:szCs w:val="24"/>
        </w:rPr>
      </w:pPr>
    </w:p>
    <w:p w14:paraId="5F923020" w14:textId="421430FD" w:rsidR="00372E8F" w:rsidRDefault="00BC23D6" w:rsidP="008F3D53">
      <w:pPr>
        <w:pStyle w:val="NoSpacing"/>
        <w:rPr>
          <w:color w:val="000000" w:themeColor="text1"/>
          <w:sz w:val="24"/>
          <w:szCs w:val="24"/>
        </w:rPr>
      </w:pPr>
      <w:r>
        <w:rPr>
          <w:color w:val="000000" w:themeColor="text1"/>
          <w:sz w:val="24"/>
          <w:szCs w:val="24"/>
        </w:rPr>
        <w:t xml:space="preserve">One set of stories we quickly prioritized was the adoption of automated self-healing.  A group of employees working out of our office in Singapore </w:t>
      </w:r>
      <w:r w:rsidR="00DC3BB2">
        <w:rPr>
          <w:color w:val="000000" w:themeColor="text1"/>
          <w:sz w:val="24"/>
          <w:szCs w:val="24"/>
        </w:rPr>
        <w:t xml:space="preserve">formed a </w:t>
      </w:r>
      <w:r>
        <w:rPr>
          <w:color w:val="000000" w:themeColor="text1"/>
          <w:sz w:val="24"/>
          <w:szCs w:val="24"/>
        </w:rPr>
        <w:t xml:space="preserve">team that would focus on dramatically improving </w:t>
      </w:r>
      <w:r w:rsidR="00DC3BB2">
        <w:rPr>
          <w:color w:val="000000" w:themeColor="text1"/>
          <w:sz w:val="24"/>
          <w:szCs w:val="24"/>
        </w:rPr>
        <w:t>the</w:t>
      </w:r>
      <w:r>
        <w:rPr>
          <w:color w:val="000000" w:themeColor="text1"/>
          <w:sz w:val="24"/>
          <w:szCs w:val="24"/>
        </w:rPr>
        <w:t xml:space="preserve"> adoption of automated self-healing for our hosting and private cloud environment.  They began by analyzing our event management data to identify “top talkers” or those infrastructure components that </w:t>
      </w:r>
      <w:r w:rsidR="008875BC">
        <w:rPr>
          <w:color w:val="000000" w:themeColor="text1"/>
          <w:sz w:val="24"/>
          <w:szCs w:val="24"/>
        </w:rPr>
        <w:t>most contributed to the volume of incident tickets requiring manual remediation.  With support from engineering teams from across Bank of America, they started writing scripts that would automatically remediate these common issues.  Week by week we’d see the adoption of self-healing automation rise and equally as important the success rate increase for each automated action</w:t>
      </w:r>
      <w:r w:rsidR="00DC3BB2">
        <w:rPr>
          <w:color w:val="000000" w:themeColor="text1"/>
          <w:sz w:val="24"/>
          <w:szCs w:val="24"/>
        </w:rPr>
        <w:t xml:space="preserve"> taken</w:t>
      </w:r>
      <w:r w:rsidR="008875BC">
        <w:rPr>
          <w:color w:val="000000" w:themeColor="text1"/>
          <w:sz w:val="24"/>
          <w:szCs w:val="24"/>
        </w:rPr>
        <w:t>.  Within the past year</w:t>
      </w:r>
      <w:r w:rsidR="00DC3BB2">
        <w:rPr>
          <w:color w:val="000000" w:themeColor="text1"/>
          <w:sz w:val="24"/>
          <w:szCs w:val="24"/>
        </w:rPr>
        <w:t xml:space="preserve"> alone</w:t>
      </w:r>
      <w:r w:rsidR="008875BC">
        <w:rPr>
          <w:color w:val="000000" w:themeColor="text1"/>
          <w:sz w:val="24"/>
          <w:szCs w:val="24"/>
        </w:rPr>
        <w:t>, we’</w:t>
      </w:r>
      <w:r w:rsidR="00DC3BB2">
        <w:rPr>
          <w:color w:val="000000" w:themeColor="text1"/>
          <w:sz w:val="24"/>
          <w:szCs w:val="24"/>
        </w:rPr>
        <w:t>ve seen a</w:t>
      </w:r>
      <w:r w:rsidR="008875BC">
        <w:rPr>
          <w:color w:val="000000" w:themeColor="text1"/>
          <w:sz w:val="24"/>
          <w:szCs w:val="24"/>
        </w:rPr>
        <w:t xml:space="preserve"> </w:t>
      </w:r>
      <w:r w:rsidR="006A16D5">
        <w:rPr>
          <w:color w:val="000000" w:themeColor="text1"/>
          <w:sz w:val="24"/>
          <w:szCs w:val="24"/>
        </w:rPr>
        <w:t>7</w:t>
      </w:r>
      <w:r w:rsidR="008875BC">
        <w:rPr>
          <w:color w:val="000000" w:themeColor="text1"/>
          <w:sz w:val="24"/>
          <w:szCs w:val="24"/>
        </w:rPr>
        <w:t xml:space="preserve">00% increase in self-healing automation adoption with the majority of those automated actions successfully remediating the issue.  For those actions where the issue wasn’t successfully remediated </w:t>
      </w:r>
      <w:r w:rsidR="00FE0171">
        <w:rPr>
          <w:color w:val="000000" w:themeColor="text1"/>
          <w:sz w:val="24"/>
          <w:szCs w:val="24"/>
        </w:rPr>
        <w:t>by automated actions</w:t>
      </w:r>
      <w:r w:rsidR="008875BC">
        <w:rPr>
          <w:color w:val="000000" w:themeColor="text1"/>
          <w:sz w:val="24"/>
          <w:szCs w:val="24"/>
        </w:rPr>
        <w:t xml:space="preserve"> </w:t>
      </w:r>
      <w:r w:rsidR="00E304B2">
        <w:rPr>
          <w:color w:val="000000" w:themeColor="text1"/>
          <w:sz w:val="24"/>
          <w:szCs w:val="24"/>
        </w:rPr>
        <w:t xml:space="preserve">the incident ticket is </w:t>
      </w:r>
      <w:r w:rsidR="008875BC">
        <w:rPr>
          <w:color w:val="000000" w:themeColor="text1"/>
          <w:sz w:val="24"/>
          <w:szCs w:val="24"/>
        </w:rPr>
        <w:t>enrich</w:t>
      </w:r>
      <w:r w:rsidR="00E304B2">
        <w:rPr>
          <w:color w:val="000000" w:themeColor="text1"/>
          <w:sz w:val="24"/>
          <w:szCs w:val="24"/>
        </w:rPr>
        <w:t>ed</w:t>
      </w:r>
      <w:r w:rsidR="008875BC">
        <w:rPr>
          <w:color w:val="000000" w:themeColor="text1"/>
          <w:sz w:val="24"/>
          <w:szCs w:val="24"/>
        </w:rPr>
        <w:t xml:space="preserve"> with additional information that </w:t>
      </w:r>
      <w:r w:rsidR="00DC3BB2">
        <w:rPr>
          <w:color w:val="000000" w:themeColor="text1"/>
          <w:sz w:val="24"/>
          <w:szCs w:val="24"/>
        </w:rPr>
        <w:t>allows</w:t>
      </w:r>
      <w:r w:rsidR="008875BC">
        <w:rPr>
          <w:color w:val="000000" w:themeColor="text1"/>
          <w:sz w:val="24"/>
          <w:szCs w:val="24"/>
        </w:rPr>
        <w:t xml:space="preserve"> our engineers to fix the issue more quickly.  We also prioritize</w:t>
      </w:r>
      <w:r w:rsidR="00906147">
        <w:rPr>
          <w:color w:val="000000" w:themeColor="text1"/>
          <w:sz w:val="24"/>
          <w:szCs w:val="24"/>
        </w:rPr>
        <w:t>d</w:t>
      </w:r>
      <w:r w:rsidR="008875BC">
        <w:rPr>
          <w:color w:val="000000" w:themeColor="text1"/>
          <w:sz w:val="24"/>
          <w:szCs w:val="24"/>
        </w:rPr>
        <w:t xml:space="preserve"> enhancements to the script to make it more effective</w:t>
      </w:r>
      <w:r w:rsidR="00DC3BB2">
        <w:rPr>
          <w:color w:val="000000" w:themeColor="text1"/>
          <w:sz w:val="24"/>
          <w:szCs w:val="24"/>
        </w:rPr>
        <w:t xml:space="preserve"> should</w:t>
      </w:r>
      <w:r w:rsidR="00372E8F">
        <w:rPr>
          <w:color w:val="000000" w:themeColor="text1"/>
          <w:sz w:val="24"/>
          <w:szCs w:val="24"/>
        </w:rPr>
        <w:t xml:space="preserve"> a similar issue recur.  </w:t>
      </w:r>
    </w:p>
    <w:p w14:paraId="064D25CD" w14:textId="77777777" w:rsidR="00372E8F" w:rsidRDefault="00372E8F" w:rsidP="008F3D53">
      <w:pPr>
        <w:pStyle w:val="NoSpacing"/>
        <w:rPr>
          <w:color w:val="000000" w:themeColor="text1"/>
          <w:sz w:val="24"/>
          <w:szCs w:val="24"/>
        </w:rPr>
      </w:pPr>
    </w:p>
    <w:p w14:paraId="58AFEBB5" w14:textId="00AECC72" w:rsidR="006B106C" w:rsidRDefault="00372E8F" w:rsidP="008F3D53">
      <w:pPr>
        <w:pStyle w:val="NoSpacing"/>
        <w:rPr>
          <w:color w:val="000000" w:themeColor="text1"/>
          <w:sz w:val="24"/>
          <w:szCs w:val="24"/>
        </w:rPr>
      </w:pPr>
      <w:r>
        <w:rPr>
          <w:color w:val="000000" w:themeColor="text1"/>
          <w:sz w:val="24"/>
          <w:szCs w:val="24"/>
        </w:rPr>
        <w:t xml:space="preserve">Another set of stories that we prioritized was </w:t>
      </w:r>
      <w:r w:rsidR="002B1B9D">
        <w:rPr>
          <w:color w:val="000000" w:themeColor="text1"/>
          <w:sz w:val="24"/>
          <w:szCs w:val="24"/>
        </w:rPr>
        <w:t>less technical</w:t>
      </w:r>
      <w:r>
        <w:rPr>
          <w:color w:val="000000" w:themeColor="text1"/>
          <w:sz w:val="24"/>
          <w:szCs w:val="24"/>
        </w:rPr>
        <w:t xml:space="preserve">, but had an equally large result.  </w:t>
      </w:r>
      <w:r w:rsidR="00F44833">
        <w:rPr>
          <w:color w:val="000000" w:themeColor="text1"/>
          <w:sz w:val="24"/>
          <w:szCs w:val="24"/>
        </w:rPr>
        <w:t>For the</w:t>
      </w:r>
      <w:r>
        <w:rPr>
          <w:color w:val="000000" w:themeColor="text1"/>
          <w:sz w:val="24"/>
          <w:szCs w:val="24"/>
        </w:rPr>
        <w:t xml:space="preserve"> thousands of people in our newly combined organization responsible for resolving </w:t>
      </w:r>
      <w:r w:rsidR="00F44833">
        <w:rPr>
          <w:color w:val="000000" w:themeColor="text1"/>
          <w:sz w:val="24"/>
          <w:szCs w:val="24"/>
        </w:rPr>
        <w:t>incident tickets</w:t>
      </w:r>
      <w:r>
        <w:rPr>
          <w:color w:val="000000" w:themeColor="text1"/>
          <w:sz w:val="24"/>
          <w:szCs w:val="24"/>
        </w:rPr>
        <w:t xml:space="preserve">, we needed a way to provide a real-time view of our operational health.  </w:t>
      </w:r>
      <w:r w:rsidR="002B1B9D">
        <w:rPr>
          <w:color w:val="000000" w:themeColor="text1"/>
          <w:sz w:val="24"/>
          <w:szCs w:val="24"/>
        </w:rPr>
        <w:t xml:space="preserve">A small team of developers working out of our Chester, </w:t>
      </w:r>
      <w:r w:rsidR="002B4768">
        <w:rPr>
          <w:color w:val="000000" w:themeColor="text1"/>
          <w:sz w:val="24"/>
          <w:szCs w:val="24"/>
        </w:rPr>
        <w:t>United Kingdom and</w:t>
      </w:r>
      <w:r w:rsidR="002B1B9D">
        <w:rPr>
          <w:color w:val="000000" w:themeColor="text1"/>
          <w:sz w:val="24"/>
          <w:szCs w:val="24"/>
        </w:rPr>
        <w:t xml:space="preserve"> Singapore offices got together </w:t>
      </w:r>
      <w:r w:rsidR="00DC3BB2">
        <w:rPr>
          <w:color w:val="000000" w:themeColor="text1"/>
          <w:sz w:val="24"/>
          <w:szCs w:val="24"/>
        </w:rPr>
        <w:t>to build</w:t>
      </w:r>
      <w:r w:rsidR="002B1B9D">
        <w:rPr>
          <w:color w:val="000000" w:themeColor="text1"/>
          <w:sz w:val="24"/>
          <w:szCs w:val="24"/>
        </w:rPr>
        <w:t xml:space="preserve"> a dashboard that aggregated data from multiple systems </w:t>
      </w:r>
      <w:r w:rsidR="00345821">
        <w:rPr>
          <w:color w:val="000000" w:themeColor="text1"/>
          <w:sz w:val="24"/>
          <w:szCs w:val="24"/>
        </w:rPr>
        <w:t xml:space="preserve">to </w:t>
      </w:r>
      <w:r w:rsidR="002B1B9D">
        <w:rPr>
          <w:color w:val="000000" w:themeColor="text1"/>
          <w:sz w:val="24"/>
          <w:szCs w:val="24"/>
        </w:rPr>
        <w:t xml:space="preserve">provide a real-time view of our operational health.  Hundreds of managers and front-line employees from our Chief Technology </w:t>
      </w:r>
      <w:r w:rsidR="00D77D68">
        <w:rPr>
          <w:color w:val="000000" w:themeColor="text1"/>
          <w:sz w:val="24"/>
          <w:szCs w:val="24"/>
        </w:rPr>
        <w:t>O</w:t>
      </w:r>
      <w:r w:rsidR="00E83A33">
        <w:rPr>
          <w:color w:val="000000" w:themeColor="text1"/>
          <w:sz w:val="24"/>
          <w:szCs w:val="24"/>
        </w:rPr>
        <w:t>fficer</w:t>
      </w:r>
      <w:r w:rsidR="001B652E">
        <w:rPr>
          <w:color w:val="000000" w:themeColor="text1"/>
          <w:sz w:val="24"/>
          <w:szCs w:val="24"/>
        </w:rPr>
        <w:t xml:space="preserve"> </w:t>
      </w:r>
      <w:r w:rsidR="002B1B9D">
        <w:rPr>
          <w:color w:val="000000" w:themeColor="text1"/>
          <w:sz w:val="24"/>
          <w:szCs w:val="24"/>
        </w:rPr>
        <w:t>to our service desk analysts rely on this dashboard.  At a glance we are able to see the number of currently active incidents</w:t>
      </w:r>
      <w:r>
        <w:rPr>
          <w:color w:val="000000" w:themeColor="text1"/>
          <w:sz w:val="24"/>
          <w:szCs w:val="24"/>
        </w:rPr>
        <w:t xml:space="preserve"> </w:t>
      </w:r>
      <w:r w:rsidR="002B1B9D">
        <w:rPr>
          <w:color w:val="000000" w:themeColor="text1"/>
          <w:sz w:val="24"/>
          <w:szCs w:val="24"/>
        </w:rPr>
        <w:t>by priority and by organization.  Triggers have been established to provide real-time alerting when incident counts exceed pre-defined thresholds.  We are able to quickly identify aging incidents</w:t>
      </w:r>
      <w:r w:rsidR="008277E2">
        <w:rPr>
          <w:color w:val="000000" w:themeColor="text1"/>
          <w:sz w:val="24"/>
          <w:szCs w:val="24"/>
        </w:rPr>
        <w:t xml:space="preserve"> along with incident</w:t>
      </w:r>
      <w:r w:rsidR="00DC3BB2">
        <w:rPr>
          <w:color w:val="000000" w:themeColor="text1"/>
          <w:sz w:val="24"/>
          <w:szCs w:val="24"/>
        </w:rPr>
        <w:t>s</w:t>
      </w:r>
      <w:r w:rsidR="008277E2">
        <w:rPr>
          <w:color w:val="000000" w:themeColor="text1"/>
          <w:sz w:val="24"/>
          <w:szCs w:val="24"/>
        </w:rPr>
        <w:t xml:space="preserve"> impacting our critical offices.</w:t>
      </w:r>
      <w:r w:rsidR="00E44458">
        <w:rPr>
          <w:color w:val="000000" w:themeColor="text1"/>
          <w:sz w:val="24"/>
          <w:szCs w:val="24"/>
        </w:rPr>
        <w:t xml:space="preserve">  This improved visibility and focus throughout the organization</w:t>
      </w:r>
      <w:r w:rsidR="00B1554C">
        <w:rPr>
          <w:color w:val="000000" w:themeColor="text1"/>
          <w:sz w:val="24"/>
          <w:szCs w:val="24"/>
        </w:rPr>
        <w:t xml:space="preserve"> </w:t>
      </w:r>
      <w:r w:rsidR="00345821">
        <w:rPr>
          <w:color w:val="000000" w:themeColor="text1"/>
          <w:sz w:val="24"/>
          <w:szCs w:val="24"/>
        </w:rPr>
        <w:t>has</w:t>
      </w:r>
      <w:r w:rsidR="00E44458">
        <w:rPr>
          <w:color w:val="000000" w:themeColor="text1"/>
          <w:sz w:val="24"/>
          <w:szCs w:val="24"/>
        </w:rPr>
        <w:t xml:space="preserve"> helped us eliminate incidents that</w:t>
      </w:r>
      <w:r w:rsidR="00AC0B17">
        <w:rPr>
          <w:color w:val="000000" w:themeColor="text1"/>
          <w:sz w:val="24"/>
          <w:szCs w:val="24"/>
        </w:rPr>
        <w:t>, less than a year ago,</w:t>
      </w:r>
      <w:r w:rsidR="00E44458">
        <w:rPr>
          <w:color w:val="000000" w:themeColor="text1"/>
          <w:sz w:val="24"/>
          <w:szCs w:val="24"/>
        </w:rPr>
        <w:t xml:space="preserve"> </w:t>
      </w:r>
      <w:r w:rsidR="00EE410C">
        <w:rPr>
          <w:color w:val="000000" w:themeColor="text1"/>
          <w:sz w:val="24"/>
          <w:szCs w:val="24"/>
        </w:rPr>
        <w:t xml:space="preserve">remained open beyond </w:t>
      </w:r>
      <w:r w:rsidR="00E44458">
        <w:rPr>
          <w:color w:val="000000" w:themeColor="text1"/>
          <w:sz w:val="24"/>
          <w:szCs w:val="24"/>
        </w:rPr>
        <w:t xml:space="preserve">our internal service level objectives on any given day. </w:t>
      </w:r>
      <w:r w:rsidR="008277E2">
        <w:rPr>
          <w:color w:val="000000" w:themeColor="text1"/>
          <w:sz w:val="24"/>
          <w:szCs w:val="24"/>
        </w:rPr>
        <w:t xml:space="preserve">  Finally, borrowing a concept commonly employed on construction sites and factory floors to reduce accidents and improve safety, we</w:t>
      </w:r>
      <w:r w:rsidR="00E44458">
        <w:rPr>
          <w:color w:val="000000" w:themeColor="text1"/>
          <w:sz w:val="24"/>
          <w:szCs w:val="24"/>
        </w:rPr>
        <w:t xml:space="preserve"> now</w:t>
      </w:r>
      <w:r w:rsidR="008277E2">
        <w:rPr>
          <w:color w:val="000000" w:themeColor="text1"/>
          <w:sz w:val="24"/>
          <w:szCs w:val="24"/>
        </w:rPr>
        <w:t xml:space="preserve"> display the number of days elapsed since the last incident </w:t>
      </w:r>
      <w:r w:rsidR="00DC3BB2">
        <w:rPr>
          <w:color w:val="000000" w:themeColor="text1"/>
          <w:sz w:val="24"/>
          <w:szCs w:val="24"/>
        </w:rPr>
        <w:t>occurred</w:t>
      </w:r>
      <w:r w:rsidR="00244920">
        <w:rPr>
          <w:color w:val="000000" w:themeColor="text1"/>
          <w:sz w:val="24"/>
          <w:szCs w:val="24"/>
        </w:rPr>
        <w:t xml:space="preserve"> that was</w:t>
      </w:r>
      <w:r w:rsidR="00DC3BB2">
        <w:rPr>
          <w:color w:val="000000" w:themeColor="text1"/>
          <w:sz w:val="24"/>
          <w:szCs w:val="24"/>
        </w:rPr>
        <w:t xml:space="preserve"> </w:t>
      </w:r>
      <w:r w:rsidR="008277E2">
        <w:rPr>
          <w:color w:val="000000" w:themeColor="text1"/>
          <w:sz w:val="24"/>
          <w:szCs w:val="24"/>
        </w:rPr>
        <w:t xml:space="preserve">caused by a scheduled change to our systems.  </w:t>
      </w:r>
    </w:p>
    <w:p w14:paraId="6FF26E78" w14:textId="77777777" w:rsidR="008277E2" w:rsidRDefault="008277E2" w:rsidP="008F3D53">
      <w:pPr>
        <w:pStyle w:val="NoSpacing"/>
        <w:rPr>
          <w:color w:val="000000" w:themeColor="text1"/>
          <w:sz w:val="24"/>
          <w:szCs w:val="24"/>
        </w:rPr>
      </w:pPr>
    </w:p>
    <w:p w14:paraId="4284EB21" w14:textId="15E1790F" w:rsidR="008277E2" w:rsidRDefault="008277E2" w:rsidP="008F3D53">
      <w:pPr>
        <w:pStyle w:val="NoSpacing"/>
        <w:rPr>
          <w:color w:val="000000" w:themeColor="text1"/>
          <w:sz w:val="24"/>
          <w:szCs w:val="24"/>
        </w:rPr>
      </w:pPr>
      <w:r>
        <w:rPr>
          <w:color w:val="000000" w:themeColor="text1"/>
          <w:sz w:val="24"/>
          <w:szCs w:val="24"/>
        </w:rPr>
        <w:t>As we close out 2018, we’ve now implemented thousands of stories</w:t>
      </w:r>
      <w:r w:rsidR="00ED1B39">
        <w:rPr>
          <w:color w:val="000000" w:themeColor="text1"/>
          <w:sz w:val="24"/>
          <w:szCs w:val="24"/>
        </w:rPr>
        <w:t xml:space="preserve"> through </w:t>
      </w:r>
      <w:r w:rsidR="00592A72">
        <w:rPr>
          <w:color w:val="000000" w:themeColor="text1"/>
          <w:sz w:val="24"/>
          <w:szCs w:val="24"/>
        </w:rPr>
        <w:t>multiple</w:t>
      </w:r>
      <w:r w:rsidR="00930DA2">
        <w:rPr>
          <w:color w:val="000000" w:themeColor="text1"/>
          <w:sz w:val="24"/>
          <w:szCs w:val="24"/>
        </w:rPr>
        <w:t xml:space="preserve"> </w:t>
      </w:r>
      <w:r w:rsidR="00ED1B39">
        <w:rPr>
          <w:color w:val="000000" w:themeColor="text1"/>
          <w:sz w:val="24"/>
          <w:szCs w:val="24"/>
        </w:rPr>
        <w:t>sprints</w:t>
      </w:r>
      <w:r>
        <w:rPr>
          <w:color w:val="000000" w:themeColor="text1"/>
          <w:sz w:val="24"/>
          <w:szCs w:val="24"/>
        </w:rPr>
        <w:t xml:space="preserve"> and have entered a period of unprecedented operational stability while simultaneously unlocking productive capacity to invest in additional strategic opportunities.  </w:t>
      </w:r>
    </w:p>
    <w:p w14:paraId="003D1C72" w14:textId="77777777" w:rsidR="008277E2" w:rsidRDefault="008277E2" w:rsidP="008F3D53">
      <w:pPr>
        <w:pStyle w:val="NoSpacing"/>
        <w:rPr>
          <w:color w:val="000000" w:themeColor="text1"/>
          <w:sz w:val="24"/>
          <w:szCs w:val="24"/>
        </w:rPr>
      </w:pPr>
    </w:p>
    <w:p w14:paraId="4378F185" w14:textId="74CAD626" w:rsidR="008277E2" w:rsidRDefault="008277E2" w:rsidP="008F3D53">
      <w:pPr>
        <w:pStyle w:val="NoSpacing"/>
        <w:rPr>
          <w:color w:val="000000" w:themeColor="text1"/>
          <w:sz w:val="24"/>
          <w:szCs w:val="24"/>
        </w:rPr>
      </w:pPr>
      <w:r>
        <w:rPr>
          <w:color w:val="000000" w:themeColor="text1"/>
          <w:sz w:val="24"/>
          <w:szCs w:val="24"/>
        </w:rPr>
        <w:lastRenderedPageBreak/>
        <w:t>The total number of</w:t>
      </w:r>
      <w:r w:rsidR="00E83A33">
        <w:rPr>
          <w:color w:val="000000" w:themeColor="text1"/>
          <w:sz w:val="24"/>
          <w:szCs w:val="24"/>
        </w:rPr>
        <w:t xml:space="preserve"> high priority</w:t>
      </w:r>
      <w:r>
        <w:rPr>
          <w:color w:val="000000" w:themeColor="text1"/>
          <w:sz w:val="24"/>
          <w:szCs w:val="24"/>
        </w:rPr>
        <w:t xml:space="preserve"> </w:t>
      </w:r>
      <w:r w:rsidR="00625DBB">
        <w:rPr>
          <w:color w:val="000000" w:themeColor="text1"/>
          <w:sz w:val="24"/>
          <w:szCs w:val="24"/>
        </w:rPr>
        <w:t>incidents</w:t>
      </w:r>
      <w:r>
        <w:rPr>
          <w:color w:val="000000" w:themeColor="text1"/>
          <w:sz w:val="24"/>
          <w:szCs w:val="24"/>
        </w:rPr>
        <w:t xml:space="preserve"> has decreased an astonishing </w:t>
      </w:r>
      <w:r w:rsidR="00384FFA">
        <w:rPr>
          <w:color w:val="000000" w:themeColor="text1"/>
          <w:sz w:val="24"/>
          <w:szCs w:val="24"/>
        </w:rPr>
        <w:t>93</w:t>
      </w:r>
      <w:r>
        <w:rPr>
          <w:color w:val="000000" w:themeColor="text1"/>
          <w:sz w:val="24"/>
          <w:szCs w:val="24"/>
        </w:rPr>
        <w:t>%</w:t>
      </w:r>
      <w:r w:rsidR="00625DBB">
        <w:rPr>
          <w:color w:val="000000" w:themeColor="text1"/>
          <w:sz w:val="24"/>
          <w:szCs w:val="24"/>
        </w:rPr>
        <w:t xml:space="preserve">.  The total volume of incidents in </w:t>
      </w:r>
      <w:r w:rsidR="00AC0B17">
        <w:rPr>
          <w:color w:val="000000" w:themeColor="text1"/>
          <w:sz w:val="24"/>
          <w:szCs w:val="24"/>
        </w:rPr>
        <w:t>just the last twelve months</w:t>
      </w:r>
      <w:r w:rsidR="00625DBB">
        <w:rPr>
          <w:color w:val="000000" w:themeColor="text1"/>
          <w:sz w:val="24"/>
          <w:szCs w:val="24"/>
        </w:rPr>
        <w:t xml:space="preserve"> is down by greater than 25%, reducing the amount of time our engineers are forced to spend resolving issues.  </w:t>
      </w:r>
      <w:r w:rsidR="00AC0B17">
        <w:rPr>
          <w:color w:val="000000" w:themeColor="text1"/>
          <w:sz w:val="24"/>
          <w:szCs w:val="24"/>
        </w:rPr>
        <w:t>T</w:t>
      </w:r>
      <w:r w:rsidR="00625DBB">
        <w:rPr>
          <w:color w:val="000000" w:themeColor="text1"/>
          <w:sz w:val="24"/>
          <w:szCs w:val="24"/>
        </w:rPr>
        <w:t>he adoption of automated self-healing has increased by an incredible 700%</w:t>
      </w:r>
      <w:r w:rsidR="001B65C1">
        <w:rPr>
          <w:color w:val="000000" w:themeColor="text1"/>
          <w:sz w:val="24"/>
          <w:szCs w:val="24"/>
        </w:rPr>
        <w:t>.  F</w:t>
      </w:r>
      <w:r w:rsidR="00625DBB">
        <w:rPr>
          <w:color w:val="000000" w:themeColor="text1"/>
          <w:sz w:val="24"/>
          <w:szCs w:val="24"/>
        </w:rPr>
        <w:t>inally</w:t>
      </w:r>
      <w:r w:rsidR="001B65C1">
        <w:rPr>
          <w:color w:val="000000" w:themeColor="text1"/>
          <w:sz w:val="24"/>
          <w:szCs w:val="24"/>
        </w:rPr>
        <w:t>,</w:t>
      </w:r>
      <w:r w:rsidR="00625DBB">
        <w:rPr>
          <w:color w:val="000000" w:themeColor="text1"/>
          <w:sz w:val="24"/>
          <w:szCs w:val="24"/>
        </w:rPr>
        <w:t xml:space="preserve"> our </w:t>
      </w:r>
      <w:r w:rsidR="001B65C1">
        <w:rPr>
          <w:color w:val="000000" w:themeColor="text1"/>
          <w:sz w:val="24"/>
          <w:szCs w:val="24"/>
        </w:rPr>
        <w:t>speed to restore service has been cut nearly in half, leading to quicker recovery in those instances where service was disrupted.</w:t>
      </w:r>
    </w:p>
    <w:p w14:paraId="11D64653" w14:textId="77777777" w:rsidR="001B65C1" w:rsidRDefault="001B65C1" w:rsidP="008F3D53">
      <w:pPr>
        <w:pStyle w:val="NoSpacing"/>
        <w:rPr>
          <w:color w:val="000000" w:themeColor="text1"/>
          <w:sz w:val="24"/>
          <w:szCs w:val="24"/>
        </w:rPr>
      </w:pPr>
    </w:p>
    <w:p w14:paraId="1C85F21A" w14:textId="2A835B68" w:rsidR="0033432C" w:rsidRDefault="001B65C1" w:rsidP="0033432C">
      <w:pPr>
        <w:pStyle w:val="NoSpacing"/>
        <w:rPr>
          <w:color w:val="000000" w:themeColor="text1"/>
          <w:sz w:val="24"/>
          <w:szCs w:val="24"/>
        </w:rPr>
      </w:pPr>
      <w:r>
        <w:rPr>
          <w:color w:val="000000" w:themeColor="text1"/>
          <w:sz w:val="24"/>
          <w:szCs w:val="24"/>
        </w:rPr>
        <w:t xml:space="preserve">While we’re extremely proud of the operational performance on its own, we’re even more proud of the business results it’s been able to generate for the company.  We’ve been able to </w:t>
      </w:r>
      <w:r w:rsidR="002D6EEA">
        <w:rPr>
          <w:color w:val="000000" w:themeColor="text1"/>
          <w:sz w:val="24"/>
          <w:szCs w:val="24"/>
        </w:rPr>
        <w:t xml:space="preserve">take out </w:t>
      </w:r>
      <w:r w:rsidR="002D6EEA" w:rsidRPr="000B1D30">
        <w:rPr>
          <w:sz w:val="24"/>
          <w:szCs w:val="24"/>
        </w:rPr>
        <w:t xml:space="preserve">over </w:t>
      </w:r>
      <w:r w:rsidR="000B1D30" w:rsidRPr="000B1D30">
        <w:rPr>
          <w:sz w:val="24"/>
          <w:szCs w:val="24"/>
        </w:rPr>
        <w:t xml:space="preserve">$16.5 MM </w:t>
      </w:r>
      <w:r w:rsidR="002D6EEA" w:rsidRPr="000B1D30">
        <w:rPr>
          <w:sz w:val="24"/>
          <w:szCs w:val="24"/>
        </w:rPr>
        <w:t xml:space="preserve">in </w:t>
      </w:r>
      <w:r w:rsidR="002D6EEA">
        <w:rPr>
          <w:color w:val="000000" w:themeColor="text1"/>
          <w:sz w:val="24"/>
          <w:szCs w:val="24"/>
        </w:rPr>
        <w:t xml:space="preserve">operating expense </w:t>
      </w:r>
      <w:r>
        <w:rPr>
          <w:color w:val="000000" w:themeColor="text1"/>
          <w:sz w:val="24"/>
          <w:szCs w:val="24"/>
        </w:rPr>
        <w:t>deliver</w:t>
      </w:r>
      <w:r w:rsidR="00EE410C">
        <w:rPr>
          <w:color w:val="000000" w:themeColor="text1"/>
          <w:sz w:val="24"/>
          <w:szCs w:val="24"/>
        </w:rPr>
        <w:t>ing</w:t>
      </w:r>
      <w:r>
        <w:rPr>
          <w:color w:val="000000" w:themeColor="text1"/>
          <w:sz w:val="24"/>
          <w:szCs w:val="24"/>
        </w:rPr>
        <w:t xml:space="preserve"> a</w:t>
      </w:r>
      <w:r w:rsidR="00543EE4">
        <w:rPr>
          <w:color w:val="000000" w:themeColor="text1"/>
          <w:sz w:val="24"/>
          <w:szCs w:val="24"/>
        </w:rPr>
        <w:t xml:space="preserve"> </w:t>
      </w:r>
      <w:bookmarkStart w:id="0" w:name="_GoBack"/>
      <w:bookmarkEnd w:id="0"/>
      <w:r>
        <w:rPr>
          <w:color w:val="000000" w:themeColor="text1"/>
          <w:sz w:val="24"/>
          <w:szCs w:val="24"/>
        </w:rPr>
        <w:t xml:space="preserve">meaningful reduction to Bank of America’s expense base that has </w:t>
      </w:r>
      <w:r w:rsidR="00345821">
        <w:rPr>
          <w:color w:val="000000" w:themeColor="text1"/>
          <w:sz w:val="24"/>
          <w:szCs w:val="24"/>
        </w:rPr>
        <w:t xml:space="preserve">positively </w:t>
      </w:r>
      <w:r>
        <w:rPr>
          <w:color w:val="000000" w:themeColor="text1"/>
          <w:sz w:val="24"/>
          <w:szCs w:val="24"/>
        </w:rPr>
        <w:t xml:space="preserve">impacted the company’s financial performance.  </w:t>
      </w:r>
      <w:r w:rsidR="00B1554C">
        <w:rPr>
          <w:color w:val="000000" w:themeColor="text1"/>
          <w:sz w:val="24"/>
          <w:szCs w:val="24"/>
        </w:rPr>
        <w:br/>
      </w:r>
    </w:p>
    <w:p w14:paraId="59A5883D" w14:textId="0AD5C2B7" w:rsidR="0033432C" w:rsidRDefault="00B1554C" w:rsidP="0033432C">
      <w:pPr>
        <w:pStyle w:val="NoSpacing"/>
        <w:rPr>
          <w:b/>
          <w:color w:val="9CC2E5" w:themeColor="accent1" w:themeTint="99"/>
          <w:sz w:val="24"/>
          <w:szCs w:val="24"/>
          <w:u w:val="single"/>
        </w:rPr>
      </w:pPr>
      <w:r>
        <w:rPr>
          <w:color w:val="000000" w:themeColor="text1"/>
          <w:sz w:val="24"/>
          <w:szCs w:val="24"/>
        </w:rPr>
        <w:t xml:space="preserve">The banking industry is rapidly changing due to changing customer demands and expectations.  In order to remain competitive and ultimately provide the best services to our customers, it is imperative we remain on a digital transformation journey, constantly innovating to work better, faster and smarter.  Our efforts to streamline and simplify our operational structure and performance has greatly </w:t>
      </w:r>
      <w:r w:rsidR="008B12FA">
        <w:rPr>
          <w:color w:val="000000" w:themeColor="text1"/>
          <w:sz w:val="24"/>
          <w:szCs w:val="24"/>
        </w:rPr>
        <w:t>helped us achieve our digital transformation goal</w:t>
      </w:r>
      <w:r w:rsidR="00AC0B17">
        <w:rPr>
          <w:color w:val="000000" w:themeColor="text1"/>
          <w:sz w:val="24"/>
          <w:szCs w:val="24"/>
        </w:rPr>
        <w:t>s and significantly contributed towards Bank of America’s 15 consecutive quarters of driving positive operating leverage.</w:t>
      </w:r>
    </w:p>
    <w:p w14:paraId="3E688039" w14:textId="77777777" w:rsidR="0033432C" w:rsidRDefault="0033432C" w:rsidP="0033432C">
      <w:pPr>
        <w:pStyle w:val="NoSpacing"/>
        <w:rPr>
          <w:b/>
          <w:color w:val="9CC2E5" w:themeColor="accent1" w:themeTint="99"/>
          <w:sz w:val="24"/>
          <w:szCs w:val="24"/>
          <w:u w:val="single"/>
        </w:rPr>
      </w:pPr>
    </w:p>
    <w:p w14:paraId="4A0BF268" w14:textId="77777777" w:rsidR="0002071C" w:rsidRPr="00230080" w:rsidRDefault="0033432C" w:rsidP="0033432C">
      <w:pPr>
        <w:pStyle w:val="NoSpacing"/>
        <w:rPr>
          <w:b/>
          <w:sz w:val="24"/>
          <w:szCs w:val="24"/>
          <w:u w:val="single"/>
        </w:rPr>
      </w:pPr>
      <w:r w:rsidRPr="00230080">
        <w:rPr>
          <w:b/>
          <w:sz w:val="24"/>
          <w:szCs w:val="24"/>
          <w:u w:val="single"/>
        </w:rPr>
        <w:t xml:space="preserve"> </w:t>
      </w:r>
    </w:p>
    <w:p w14:paraId="475F689B" w14:textId="77777777" w:rsidR="0002071C" w:rsidRPr="00230080" w:rsidRDefault="0002071C" w:rsidP="00817189">
      <w:pPr>
        <w:pStyle w:val="NoSpacing"/>
        <w:ind w:left="720"/>
        <w:rPr>
          <w:b/>
          <w:sz w:val="24"/>
          <w:szCs w:val="24"/>
          <w:u w:val="single"/>
        </w:rPr>
      </w:pPr>
    </w:p>
    <w:sectPr w:rsidR="0002071C" w:rsidRPr="00230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34672"/>
    <w:multiLevelType w:val="hybridMultilevel"/>
    <w:tmpl w:val="83CA5F22"/>
    <w:lvl w:ilvl="0" w:tplc="626C50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3D4B9E"/>
    <w:multiLevelType w:val="hybridMultilevel"/>
    <w:tmpl w:val="C046C1CA"/>
    <w:lvl w:ilvl="0" w:tplc="626C50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C21A7"/>
    <w:multiLevelType w:val="hybridMultilevel"/>
    <w:tmpl w:val="69381BA8"/>
    <w:lvl w:ilvl="0" w:tplc="626C50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B1BCB"/>
    <w:multiLevelType w:val="hybridMultilevel"/>
    <w:tmpl w:val="4504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D7AEA"/>
    <w:multiLevelType w:val="hybridMultilevel"/>
    <w:tmpl w:val="701C3F48"/>
    <w:lvl w:ilvl="0" w:tplc="626C50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25"/>
    <w:rsid w:val="000073EF"/>
    <w:rsid w:val="00010E25"/>
    <w:rsid w:val="00014125"/>
    <w:rsid w:val="0002071C"/>
    <w:rsid w:val="0002322E"/>
    <w:rsid w:val="00066F33"/>
    <w:rsid w:val="000816D2"/>
    <w:rsid w:val="000817EE"/>
    <w:rsid w:val="00094AF5"/>
    <w:rsid w:val="000B1D30"/>
    <w:rsid w:val="000C4C1B"/>
    <w:rsid w:val="000D6045"/>
    <w:rsid w:val="000D73B2"/>
    <w:rsid w:val="000F4164"/>
    <w:rsid w:val="001051BC"/>
    <w:rsid w:val="001066DD"/>
    <w:rsid w:val="00140F11"/>
    <w:rsid w:val="00157D89"/>
    <w:rsid w:val="00172374"/>
    <w:rsid w:val="00177820"/>
    <w:rsid w:val="001962AC"/>
    <w:rsid w:val="001A14A5"/>
    <w:rsid w:val="001B652E"/>
    <w:rsid w:val="001B65C1"/>
    <w:rsid w:val="001C4F86"/>
    <w:rsid w:val="001F7A28"/>
    <w:rsid w:val="00217540"/>
    <w:rsid w:val="002244DE"/>
    <w:rsid w:val="00226828"/>
    <w:rsid w:val="00227A3B"/>
    <w:rsid w:val="00230080"/>
    <w:rsid w:val="00233427"/>
    <w:rsid w:val="00244920"/>
    <w:rsid w:val="00257661"/>
    <w:rsid w:val="00265091"/>
    <w:rsid w:val="002B1B9D"/>
    <w:rsid w:val="002B431C"/>
    <w:rsid w:val="002B4768"/>
    <w:rsid w:val="002C2728"/>
    <w:rsid w:val="002D6EEA"/>
    <w:rsid w:val="002E028C"/>
    <w:rsid w:val="002F0A99"/>
    <w:rsid w:val="003062F8"/>
    <w:rsid w:val="0030772C"/>
    <w:rsid w:val="003146F3"/>
    <w:rsid w:val="0033432C"/>
    <w:rsid w:val="00345821"/>
    <w:rsid w:val="00360518"/>
    <w:rsid w:val="00365167"/>
    <w:rsid w:val="00372E8F"/>
    <w:rsid w:val="00384FFA"/>
    <w:rsid w:val="003900E6"/>
    <w:rsid w:val="00390B56"/>
    <w:rsid w:val="003910D0"/>
    <w:rsid w:val="0039649F"/>
    <w:rsid w:val="003D5D80"/>
    <w:rsid w:val="003F4889"/>
    <w:rsid w:val="0040392F"/>
    <w:rsid w:val="00426BC4"/>
    <w:rsid w:val="00433903"/>
    <w:rsid w:val="00443360"/>
    <w:rsid w:val="00470F68"/>
    <w:rsid w:val="00494F83"/>
    <w:rsid w:val="004A67D9"/>
    <w:rsid w:val="004C0566"/>
    <w:rsid w:val="004C7FE0"/>
    <w:rsid w:val="004E0F86"/>
    <w:rsid w:val="0050542A"/>
    <w:rsid w:val="00513283"/>
    <w:rsid w:val="00520766"/>
    <w:rsid w:val="00543EE4"/>
    <w:rsid w:val="0055137F"/>
    <w:rsid w:val="005518A7"/>
    <w:rsid w:val="00563B9A"/>
    <w:rsid w:val="00581024"/>
    <w:rsid w:val="0058309A"/>
    <w:rsid w:val="00592A72"/>
    <w:rsid w:val="005C02E4"/>
    <w:rsid w:val="005D3800"/>
    <w:rsid w:val="005E45A3"/>
    <w:rsid w:val="005E73BB"/>
    <w:rsid w:val="00602582"/>
    <w:rsid w:val="00603855"/>
    <w:rsid w:val="006054DE"/>
    <w:rsid w:val="00610FB6"/>
    <w:rsid w:val="006141D0"/>
    <w:rsid w:val="00614E5D"/>
    <w:rsid w:val="006220D1"/>
    <w:rsid w:val="00625DBB"/>
    <w:rsid w:val="00627CF1"/>
    <w:rsid w:val="00656A4F"/>
    <w:rsid w:val="00684363"/>
    <w:rsid w:val="006A16D5"/>
    <w:rsid w:val="006B106C"/>
    <w:rsid w:val="006D6568"/>
    <w:rsid w:val="006F48E7"/>
    <w:rsid w:val="00735A5B"/>
    <w:rsid w:val="007414D3"/>
    <w:rsid w:val="0076181E"/>
    <w:rsid w:val="00781089"/>
    <w:rsid w:val="007937E2"/>
    <w:rsid w:val="007A0C67"/>
    <w:rsid w:val="007A2344"/>
    <w:rsid w:val="007B6AF3"/>
    <w:rsid w:val="007F1470"/>
    <w:rsid w:val="00805D1D"/>
    <w:rsid w:val="00807D8B"/>
    <w:rsid w:val="00817189"/>
    <w:rsid w:val="00820BF7"/>
    <w:rsid w:val="008277E2"/>
    <w:rsid w:val="00847C61"/>
    <w:rsid w:val="00864D58"/>
    <w:rsid w:val="00872866"/>
    <w:rsid w:val="00881289"/>
    <w:rsid w:val="008819C4"/>
    <w:rsid w:val="00883166"/>
    <w:rsid w:val="008875BC"/>
    <w:rsid w:val="00896AFC"/>
    <w:rsid w:val="008B12FA"/>
    <w:rsid w:val="008D11A9"/>
    <w:rsid w:val="008E1BCD"/>
    <w:rsid w:val="008E1F11"/>
    <w:rsid w:val="008F3D53"/>
    <w:rsid w:val="009043CB"/>
    <w:rsid w:val="00906147"/>
    <w:rsid w:val="009110F9"/>
    <w:rsid w:val="00912139"/>
    <w:rsid w:val="00913D53"/>
    <w:rsid w:val="00926C8C"/>
    <w:rsid w:val="00930DA2"/>
    <w:rsid w:val="00935FFE"/>
    <w:rsid w:val="0093742B"/>
    <w:rsid w:val="00944499"/>
    <w:rsid w:val="0095030C"/>
    <w:rsid w:val="009532DB"/>
    <w:rsid w:val="00955934"/>
    <w:rsid w:val="00955E36"/>
    <w:rsid w:val="00964355"/>
    <w:rsid w:val="00993489"/>
    <w:rsid w:val="00995F10"/>
    <w:rsid w:val="009C310B"/>
    <w:rsid w:val="009D7BBE"/>
    <w:rsid w:val="009E7326"/>
    <w:rsid w:val="009F042A"/>
    <w:rsid w:val="00A0788D"/>
    <w:rsid w:val="00A6344E"/>
    <w:rsid w:val="00A82EA9"/>
    <w:rsid w:val="00A84C41"/>
    <w:rsid w:val="00A90416"/>
    <w:rsid w:val="00AB769A"/>
    <w:rsid w:val="00AC0B17"/>
    <w:rsid w:val="00AF18EB"/>
    <w:rsid w:val="00AF39EB"/>
    <w:rsid w:val="00B1554C"/>
    <w:rsid w:val="00B17708"/>
    <w:rsid w:val="00B22D38"/>
    <w:rsid w:val="00B271E5"/>
    <w:rsid w:val="00B40570"/>
    <w:rsid w:val="00B41F02"/>
    <w:rsid w:val="00B647D5"/>
    <w:rsid w:val="00B81ADC"/>
    <w:rsid w:val="00B83034"/>
    <w:rsid w:val="00B91359"/>
    <w:rsid w:val="00B938D6"/>
    <w:rsid w:val="00BB6BA0"/>
    <w:rsid w:val="00BC23D6"/>
    <w:rsid w:val="00BC4AA6"/>
    <w:rsid w:val="00BC593B"/>
    <w:rsid w:val="00BE7359"/>
    <w:rsid w:val="00C02A65"/>
    <w:rsid w:val="00C21A96"/>
    <w:rsid w:val="00C2499E"/>
    <w:rsid w:val="00C2761F"/>
    <w:rsid w:val="00C369F0"/>
    <w:rsid w:val="00C45D99"/>
    <w:rsid w:val="00C52705"/>
    <w:rsid w:val="00C659EE"/>
    <w:rsid w:val="00C70347"/>
    <w:rsid w:val="00C70C6F"/>
    <w:rsid w:val="00CD5196"/>
    <w:rsid w:val="00CE0DF5"/>
    <w:rsid w:val="00CE48F9"/>
    <w:rsid w:val="00CE5192"/>
    <w:rsid w:val="00D011FC"/>
    <w:rsid w:val="00D11BED"/>
    <w:rsid w:val="00D3309A"/>
    <w:rsid w:val="00D57CA0"/>
    <w:rsid w:val="00D60D6A"/>
    <w:rsid w:val="00D62CE5"/>
    <w:rsid w:val="00D64EF0"/>
    <w:rsid w:val="00D71C25"/>
    <w:rsid w:val="00D77D68"/>
    <w:rsid w:val="00D80BBD"/>
    <w:rsid w:val="00D92C61"/>
    <w:rsid w:val="00DC3BB2"/>
    <w:rsid w:val="00DC7F52"/>
    <w:rsid w:val="00DE267B"/>
    <w:rsid w:val="00DF0C65"/>
    <w:rsid w:val="00DF3C87"/>
    <w:rsid w:val="00DF5D43"/>
    <w:rsid w:val="00E16C8B"/>
    <w:rsid w:val="00E229BC"/>
    <w:rsid w:val="00E304B2"/>
    <w:rsid w:val="00E36175"/>
    <w:rsid w:val="00E36C1A"/>
    <w:rsid w:val="00E44458"/>
    <w:rsid w:val="00E51D52"/>
    <w:rsid w:val="00E54855"/>
    <w:rsid w:val="00E83A33"/>
    <w:rsid w:val="00E9019B"/>
    <w:rsid w:val="00E95F9F"/>
    <w:rsid w:val="00EC3B88"/>
    <w:rsid w:val="00ED1B39"/>
    <w:rsid w:val="00EE0D67"/>
    <w:rsid w:val="00EE410C"/>
    <w:rsid w:val="00EF6448"/>
    <w:rsid w:val="00F028FC"/>
    <w:rsid w:val="00F043C0"/>
    <w:rsid w:val="00F11FA0"/>
    <w:rsid w:val="00F20161"/>
    <w:rsid w:val="00F33FDD"/>
    <w:rsid w:val="00F345F2"/>
    <w:rsid w:val="00F44833"/>
    <w:rsid w:val="00F53AEB"/>
    <w:rsid w:val="00F55D47"/>
    <w:rsid w:val="00FA58DD"/>
    <w:rsid w:val="00FD1F6A"/>
    <w:rsid w:val="00FE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559"/>
  <w15:chartTrackingRefBased/>
  <w15:docId w15:val="{BF033492-10E7-4D6A-9F4F-361CEBE7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125"/>
    <w:pPr>
      <w:spacing w:after="0" w:line="240" w:lineRule="auto"/>
    </w:pPr>
  </w:style>
  <w:style w:type="character" w:styleId="Hyperlink">
    <w:name w:val="Hyperlink"/>
    <w:basedOn w:val="DefaultParagraphFont"/>
    <w:uiPriority w:val="99"/>
    <w:unhideWhenUsed/>
    <w:rsid w:val="005518A7"/>
    <w:rPr>
      <w:color w:val="0563C1" w:themeColor="hyperlink"/>
      <w:u w:val="single"/>
    </w:rPr>
  </w:style>
  <w:style w:type="paragraph" w:styleId="BalloonText">
    <w:name w:val="Balloon Text"/>
    <w:basedOn w:val="Normal"/>
    <w:link w:val="BalloonTextChar"/>
    <w:uiPriority w:val="99"/>
    <w:semiHidden/>
    <w:unhideWhenUsed/>
    <w:rsid w:val="00DC3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BB2"/>
    <w:rPr>
      <w:rFonts w:ascii="Segoe UI" w:hAnsi="Segoe UI" w:cs="Segoe UI"/>
      <w:sz w:val="18"/>
      <w:szCs w:val="18"/>
    </w:rPr>
  </w:style>
  <w:style w:type="paragraph" w:styleId="ListParagraph">
    <w:name w:val="List Paragraph"/>
    <w:basedOn w:val="Normal"/>
    <w:uiPriority w:val="34"/>
    <w:qFormat/>
    <w:rsid w:val="00EF6448"/>
    <w:pPr>
      <w:ind w:left="720"/>
      <w:contextualSpacing/>
    </w:pPr>
  </w:style>
  <w:style w:type="character" w:styleId="Strong">
    <w:name w:val="Strong"/>
    <w:basedOn w:val="DefaultParagraphFont"/>
    <w:uiPriority w:val="22"/>
    <w:qFormat/>
    <w:rsid w:val="00EF6448"/>
    <w:rPr>
      <w:b/>
      <w:bCs/>
    </w:rPr>
  </w:style>
  <w:style w:type="character" w:styleId="CommentReference">
    <w:name w:val="annotation reference"/>
    <w:basedOn w:val="DefaultParagraphFont"/>
    <w:uiPriority w:val="99"/>
    <w:semiHidden/>
    <w:unhideWhenUsed/>
    <w:rsid w:val="00EF6448"/>
    <w:rPr>
      <w:sz w:val="16"/>
      <w:szCs w:val="16"/>
    </w:rPr>
  </w:style>
  <w:style w:type="paragraph" w:styleId="CommentText">
    <w:name w:val="annotation text"/>
    <w:basedOn w:val="Normal"/>
    <w:link w:val="CommentTextChar"/>
    <w:uiPriority w:val="99"/>
    <w:semiHidden/>
    <w:unhideWhenUsed/>
    <w:rsid w:val="00EF6448"/>
    <w:pPr>
      <w:spacing w:line="240" w:lineRule="auto"/>
    </w:pPr>
    <w:rPr>
      <w:sz w:val="20"/>
      <w:szCs w:val="20"/>
    </w:rPr>
  </w:style>
  <w:style w:type="character" w:customStyle="1" w:styleId="CommentTextChar">
    <w:name w:val="Comment Text Char"/>
    <w:basedOn w:val="DefaultParagraphFont"/>
    <w:link w:val="CommentText"/>
    <w:uiPriority w:val="99"/>
    <w:semiHidden/>
    <w:rsid w:val="00EF6448"/>
    <w:rPr>
      <w:sz w:val="20"/>
      <w:szCs w:val="20"/>
    </w:rPr>
  </w:style>
  <w:style w:type="paragraph" w:styleId="CommentSubject">
    <w:name w:val="annotation subject"/>
    <w:basedOn w:val="CommentText"/>
    <w:next w:val="CommentText"/>
    <w:link w:val="CommentSubjectChar"/>
    <w:uiPriority w:val="99"/>
    <w:semiHidden/>
    <w:unhideWhenUsed/>
    <w:rsid w:val="00EF6448"/>
    <w:rPr>
      <w:b/>
      <w:bCs/>
    </w:rPr>
  </w:style>
  <w:style w:type="character" w:customStyle="1" w:styleId="CommentSubjectChar">
    <w:name w:val="Comment Subject Char"/>
    <w:basedOn w:val="CommentTextChar"/>
    <w:link w:val="CommentSubject"/>
    <w:uiPriority w:val="99"/>
    <w:semiHidden/>
    <w:rsid w:val="00EF6448"/>
    <w:rPr>
      <w:b/>
      <w:bCs/>
      <w:sz w:val="20"/>
      <w:szCs w:val="20"/>
    </w:rPr>
  </w:style>
  <w:style w:type="paragraph" w:styleId="Revision">
    <w:name w:val="Revision"/>
    <w:hidden/>
    <w:uiPriority w:val="99"/>
    <w:semiHidden/>
    <w:rsid w:val="009043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Belton, Stephen R</dc:creator>
  <cp:keywords/>
  <dc:description/>
  <cp:lastModifiedBy>Ratchford, Katie</cp:lastModifiedBy>
  <cp:revision>2</cp:revision>
  <cp:lastPrinted>2018-11-01T15:05:00Z</cp:lastPrinted>
  <dcterms:created xsi:type="dcterms:W3CDTF">2018-11-29T22:18:00Z</dcterms:created>
  <dcterms:modified xsi:type="dcterms:W3CDTF">2018-11-29T22:18:00Z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802472802</vt:i4>
  </property>
  <property fmtid="{D5CDD505-2E9C-101B-9397-08002B2CF9AE}" pid="4" name="_EmailSubject">
    <vt:lpwstr>BTOE award submission - Legal/Corp Comm edits</vt:lpwstr>
  </property>
  <property fmtid="{D5CDD505-2E9C-101B-9397-08002B2CF9AE}" pid="5" name="_AuthorEmail">
    <vt:lpwstr>stephen.belton@bankofamerica.com</vt:lpwstr>
  </property>
  <property fmtid="{D5CDD505-2E9C-101B-9397-08002B2CF9AE}" pid="6" name="_AuthorEmailDisplayName">
    <vt:lpwstr>Belton, Stephen R</vt:lpwstr>
  </property>
  <property fmtid="{D5CDD505-2E9C-101B-9397-08002B2CF9AE}" pid="7" name="_PreviousAdHocReviewCycleID">
    <vt:i4>-13602682</vt:i4>
  </property>
</Properties>
</file>