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B2" w:rsidRDefault="005C667C" w:rsidP="00994CE6">
      <w:pPr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Mytech Partners, Inc. - </w:t>
      </w:r>
      <w:bookmarkStart w:id="0" w:name="_GoBack"/>
      <w:bookmarkEnd w:id="0"/>
      <w:r w:rsidR="00003471">
        <w:rPr>
          <w:b/>
          <w:noProof/>
          <w:sz w:val="24"/>
        </w:rPr>
        <w:t xml:space="preserve">Sr. </w:t>
      </w:r>
      <w:r w:rsidR="00F6662D">
        <w:rPr>
          <w:b/>
          <w:noProof/>
          <w:sz w:val="24"/>
        </w:rPr>
        <w:t>Business Technology Advisor</w:t>
      </w:r>
    </w:p>
    <w:p w:rsidR="00DE3E18" w:rsidRPr="00DE3E18" w:rsidRDefault="00861719" w:rsidP="00994CE6">
      <w:pPr>
        <w:pStyle w:val="ListParagraph"/>
        <w:numPr>
          <w:ilvl w:val="0"/>
          <w:numId w:val="7"/>
        </w:numPr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This position only seeks new clients, </w:t>
      </w:r>
      <w:r w:rsidR="008355BD">
        <w:rPr>
          <w:b/>
          <w:noProof/>
          <w:sz w:val="24"/>
        </w:rPr>
        <w:t xml:space="preserve">and as a Sr. level team member is able to </w:t>
      </w:r>
      <w:r w:rsidR="00DE3E18">
        <w:rPr>
          <w:b/>
          <w:noProof/>
          <w:sz w:val="24"/>
        </w:rPr>
        <w:t>engage clients/prospects with internal IT staff</w:t>
      </w:r>
      <w:r w:rsidR="008355BD">
        <w:rPr>
          <w:b/>
          <w:noProof/>
          <w:sz w:val="24"/>
        </w:rPr>
        <w:t xml:space="preserve"> as well as clients that do not have internal IT</w:t>
      </w:r>
      <w:r>
        <w:rPr>
          <w:b/>
          <w:noProof/>
          <w:sz w:val="24"/>
        </w:rPr>
        <w:t xml:space="preserve">. The goal of this position </w:t>
      </w:r>
      <w:r w:rsidR="008355BD">
        <w:rPr>
          <w:b/>
          <w:noProof/>
          <w:sz w:val="24"/>
        </w:rPr>
        <w:t xml:space="preserve">is to aquire </w:t>
      </w:r>
      <w:r w:rsidR="00F6662D">
        <w:rPr>
          <w:b/>
          <w:noProof/>
          <w:sz w:val="24"/>
        </w:rPr>
        <w:t>new clients</w:t>
      </w:r>
      <w:r w:rsidR="008355BD">
        <w:rPr>
          <w:b/>
          <w:noProof/>
          <w:sz w:val="24"/>
        </w:rPr>
        <w:t xml:space="preserve">, build and execute client roadmaps, </w:t>
      </w:r>
      <w:r w:rsidR="00F6662D">
        <w:rPr>
          <w:b/>
          <w:noProof/>
          <w:sz w:val="24"/>
        </w:rPr>
        <w:t xml:space="preserve">and facilitate an effective transition to internal Business Technology Managers no later than 12 months post client acquisition.  </w:t>
      </w:r>
    </w:p>
    <w:p w:rsidR="004C762E" w:rsidRPr="00827679" w:rsidRDefault="004C762E">
      <w:pPr>
        <w:rPr>
          <w:b/>
          <w:noProof/>
          <w:sz w:val="24"/>
        </w:rPr>
      </w:pPr>
      <w:r w:rsidRPr="00827679">
        <w:rPr>
          <w:b/>
          <w:noProof/>
          <w:sz w:val="24"/>
        </w:rPr>
        <w:t>Key Roles &amp; Accountabilities</w:t>
      </w: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0C068D" w:rsidTr="000C068D">
        <w:tc>
          <w:tcPr>
            <w:tcW w:w="1781" w:type="dxa"/>
            <w:shd w:val="clear" w:color="auto" w:fill="2E74B5" w:themeFill="accent1" w:themeFillShade="BF"/>
          </w:tcPr>
          <w:p w:rsidR="00D6672A" w:rsidRPr="00827679" w:rsidRDefault="00D6672A" w:rsidP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EXPECTATIONS</w:t>
            </w:r>
          </w:p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(Core Competencies)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E479B2" w:rsidRPr="00827679" w:rsidRDefault="000B6466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BEHAVIORS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E479B2" w:rsidRPr="00827679" w:rsidRDefault="00D6672A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RESULTS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E479B2" w:rsidRPr="00827679" w:rsidRDefault="00E479B2">
            <w:pPr>
              <w:rPr>
                <w:b/>
                <w:noProof/>
                <w:color w:val="FFFFFF" w:themeColor="background1"/>
              </w:rPr>
            </w:pPr>
            <w:r w:rsidRPr="00827679">
              <w:rPr>
                <w:b/>
                <w:noProof/>
                <w:color w:val="FFFFFF" w:themeColor="background1"/>
              </w:rPr>
              <w:t>WIFM</w:t>
            </w:r>
          </w:p>
        </w:tc>
      </w:tr>
      <w:tr w:rsidR="00E479B2" w:rsidTr="000C068D">
        <w:tc>
          <w:tcPr>
            <w:tcW w:w="1781" w:type="dxa"/>
          </w:tcPr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An A player generates their own leads</w:t>
            </w:r>
          </w:p>
        </w:tc>
        <w:tc>
          <w:tcPr>
            <w:tcW w:w="5239" w:type="dxa"/>
          </w:tcPr>
          <w:p w:rsidR="00845D23" w:rsidRPr="00C73038" w:rsidRDefault="001B6FA7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 xml:space="preserve">Community &amp; </w:t>
            </w:r>
            <w:r w:rsidR="00845D23" w:rsidRPr="00C73038">
              <w:rPr>
                <w:rFonts w:ascii="Calibri" w:hAnsi="Calibri" w:cs="Calibri"/>
                <w:sz w:val="20"/>
                <w:szCs w:val="20"/>
              </w:rPr>
              <w:t>Networking Events (1/week)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Organized events</w:t>
            </w:r>
          </w:p>
          <w:p w:rsidR="00845D23" w:rsidRPr="00C73038" w:rsidRDefault="00845D23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One on One meetings</w:t>
            </w:r>
          </w:p>
          <w:p w:rsidR="001B6FA7" w:rsidRPr="00C73038" w:rsidRDefault="001B6FA7" w:rsidP="00845D23">
            <w:pPr>
              <w:numPr>
                <w:ilvl w:val="0"/>
                <w:numId w:val="4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Vendor partner meetings</w:t>
            </w:r>
          </w:p>
          <w:p w:rsidR="00845D23" w:rsidRPr="00C73038" w:rsidRDefault="00845D23" w:rsidP="00E479B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:rsidR="00845D23" w:rsidRPr="00C73038" w:rsidRDefault="00845D23" w:rsidP="00845D2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Association Engagement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(Minimum 1 Association)</w:t>
            </w:r>
          </w:p>
          <w:p w:rsidR="00845D23" w:rsidRPr="00C73038" w:rsidRDefault="00827679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Minimum involvement in 1 association, 2 is ideal</w:t>
            </w:r>
          </w:p>
          <w:p w:rsidR="00845D23" w:rsidRPr="00C73038" w:rsidRDefault="00845D23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Participate in Trade Shows</w:t>
            </w:r>
          </w:p>
          <w:p w:rsidR="00845D23" w:rsidRPr="00C73038" w:rsidRDefault="00827679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Seek out Speaking Opportunities</w:t>
            </w:r>
          </w:p>
          <w:p w:rsidR="00845D23" w:rsidRDefault="00845D23" w:rsidP="00845D23">
            <w:pPr>
              <w:numPr>
                <w:ilvl w:val="0"/>
                <w:numId w:val="3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Co-Marketing Events</w:t>
            </w:r>
          </w:p>
          <w:p w:rsidR="00F6662D" w:rsidRDefault="00F6662D" w:rsidP="00F6662D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F6662D" w:rsidRPr="00C73038" w:rsidRDefault="00F6662D" w:rsidP="00F6662D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Give a referral (2x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F6662D" w:rsidRPr="00C73038" w:rsidRDefault="00F6662D" w:rsidP="00F6662D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Find an opportunity to help a client/prospect by introducing a networking partner. </w:t>
            </w:r>
          </w:p>
          <w:p w:rsidR="00F6662D" w:rsidRPr="00C73038" w:rsidRDefault="00F6662D" w:rsidP="00F6662D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827679" w:rsidRPr="00C73038" w:rsidRDefault="00F6662D" w:rsidP="0082767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Ask for referral (2x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month</w:t>
            </w:r>
            <w:r w:rsidR="00827679" w:rsidRPr="00C73038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  <w:p w:rsidR="00E479B2" w:rsidRPr="00C73038" w:rsidRDefault="00827679" w:rsidP="00827679">
            <w:pPr>
              <w:numPr>
                <w:ilvl w:val="0"/>
                <w:numId w:val="5"/>
              </w:num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Utilize client wins as an opportunity to follow up and ask for referral.</w:t>
            </w:r>
          </w:p>
          <w:p w:rsidR="000C068D" w:rsidRPr="00C73038" w:rsidRDefault="000C068D" w:rsidP="000C068D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70" w:type="dxa"/>
          </w:tcPr>
          <w:p w:rsidR="001B6FA7" w:rsidRPr="00C73038" w:rsidRDefault="001B6FA7" w:rsidP="001B6FA7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>First meetings (qualified business appointments).  Marketing fed leads will contr</w:t>
            </w:r>
            <w:r w:rsidR="005F0FA9">
              <w:rPr>
                <w:rFonts w:ascii="Calibri" w:hAnsi="Calibri" w:cs="Calibri"/>
                <w:sz w:val="20"/>
                <w:szCs w:val="20"/>
              </w:rPr>
              <w:t>ibute to meeting these go</w:t>
            </w:r>
            <w:r w:rsidR="00F6662D">
              <w:rPr>
                <w:rFonts w:ascii="Calibri" w:hAnsi="Calibri" w:cs="Calibri"/>
                <w:sz w:val="20"/>
                <w:szCs w:val="20"/>
              </w:rPr>
              <w:t>als. Mytech will support the BTA</w:t>
            </w:r>
            <w:r w:rsidRPr="00C73038">
              <w:rPr>
                <w:rFonts w:ascii="Calibri" w:hAnsi="Calibri" w:cs="Calibri"/>
                <w:sz w:val="20"/>
                <w:szCs w:val="20"/>
              </w:rPr>
              <w:t xml:space="preserve"> efforts but will never take responsibility for it.</w:t>
            </w:r>
          </w:p>
          <w:p w:rsidR="001B6FA7" w:rsidRPr="00C73038" w:rsidRDefault="001B6FA7" w:rsidP="001B6FA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>For tenured reps</w:t>
            </w:r>
            <w:r w:rsidR="00092020">
              <w:rPr>
                <w:rFonts w:ascii="Calibri" w:hAnsi="Calibri" w:cs="Calibri"/>
                <w:sz w:val="20"/>
                <w:szCs w:val="20"/>
              </w:rPr>
              <w:t xml:space="preserve"> with an established network of peers/referral partners</w:t>
            </w:r>
            <w:r w:rsidRPr="00C73038">
              <w:rPr>
                <w:rFonts w:ascii="Calibri" w:hAnsi="Calibri" w:cs="Calibri"/>
                <w:sz w:val="20"/>
                <w:szCs w:val="20"/>
              </w:rPr>
              <w:t xml:space="preserve"> – minimum of 1 and no more than 2/week</w:t>
            </w:r>
          </w:p>
          <w:p w:rsidR="001B6FA7" w:rsidRPr="00C73038" w:rsidRDefault="001B6FA7" w:rsidP="001B6FA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73038">
              <w:rPr>
                <w:rFonts w:ascii="Calibri" w:hAnsi="Calibri" w:cs="Calibri"/>
                <w:sz w:val="20"/>
                <w:szCs w:val="20"/>
              </w:rPr>
              <w:t xml:space="preserve">For new reps </w:t>
            </w:r>
            <w:r w:rsidR="00092020">
              <w:rPr>
                <w:rFonts w:ascii="Calibri" w:hAnsi="Calibri" w:cs="Calibri"/>
                <w:sz w:val="20"/>
                <w:szCs w:val="20"/>
              </w:rPr>
              <w:t xml:space="preserve">that are still seeking to build their network of peers/referral partners </w:t>
            </w:r>
            <w:r w:rsidR="005F0FA9">
              <w:rPr>
                <w:rFonts w:ascii="Calibri" w:hAnsi="Calibri" w:cs="Calibri"/>
                <w:sz w:val="20"/>
                <w:szCs w:val="20"/>
              </w:rPr>
              <w:t>–</w:t>
            </w:r>
            <w:r w:rsidRPr="00C7303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0FA9">
              <w:rPr>
                <w:rFonts w:ascii="Calibri" w:hAnsi="Calibri" w:cs="Calibri"/>
                <w:sz w:val="20"/>
                <w:szCs w:val="20"/>
              </w:rPr>
              <w:t>targeting 3+/</w:t>
            </w:r>
            <w:r w:rsidRPr="00C73038">
              <w:rPr>
                <w:rFonts w:ascii="Calibri" w:hAnsi="Calibri" w:cs="Calibri"/>
                <w:sz w:val="20"/>
                <w:szCs w:val="20"/>
              </w:rPr>
              <w:t>week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E479B2" w:rsidRPr="00C73038" w:rsidRDefault="0016037A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 xml:space="preserve">A continuous flow of </w:t>
            </w:r>
            <w:r w:rsidR="00845D23" w:rsidRPr="00C73038">
              <w:rPr>
                <w:noProof/>
                <w:sz w:val="20"/>
                <w:szCs w:val="20"/>
              </w:rPr>
              <w:t>qualified business leads.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Default="00827679" w:rsidP="0082767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 xml:space="preserve">Negates reliance on outside lead sources and provides ownership to the </w:t>
            </w:r>
            <w:r w:rsidR="00F6662D">
              <w:rPr>
                <w:noProof/>
                <w:sz w:val="20"/>
                <w:szCs w:val="20"/>
              </w:rPr>
              <w:t>BTA</w:t>
            </w:r>
            <w:r w:rsidRPr="00C73038">
              <w:rPr>
                <w:noProof/>
                <w:sz w:val="20"/>
                <w:szCs w:val="20"/>
              </w:rPr>
              <w:t>.</w:t>
            </w:r>
          </w:p>
          <w:p w:rsidR="005F0FA9" w:rsidRDefault="005F0FA9" w:rsidP="00827679">
            <w:pPr>
              <w:rPr>
                <w:noProof/>
                <w:sz w:val="20"/>
                <w:szCs w:val="20"/>
              </w:rPr>
            </w:pPr>
          </w:p>
          <w:p w:rsidR="005F0FA9" w:rsidRPr="00C73038" w:rsidRDefault="005F0FA9" w:rsidP="0082767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Leads generated through referral network start with higher credibility</w:t>
            </w:r>
            <w:r w:rsidR="00BE38EA">
              <w:rPr>
                <w:noProof/>
                <w:sz w:val="20"/>
                <w:szCs w:val="20"/>
              </w:rPr>
              <w:t>, higher probability of closing,</w:t>
            </w:r>
            <w:r>
              <w:rPr>
                <w:noProof/>
                <w:sz w:val="20"/>
                <w:szCs w:val="20"/>
              </w:rPr>
              <w:t xml:space="preserve"> and often close faster. </w:t>
            </w: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  <w:p w:rsidR="00827679" w:rsidRPr="00C73038" w:rsidRDefault="00827679" w:rsidP="00827679">
            <w:pPr>
              <w:rPr>
                <w:noProof/>
                <w:sz w:val="20"/>
                <w:szCs w:val="20"/>
              </w:rPr>
            </w:pPr>
          </w:p>
        </w:tc>
      </w:tr>
      <w:tr w:rsidR="00E479B2" w:rsidTr="000C068D">
        <w:tc>
          <w:tcPr>
            <w:tcW w:w="1781" w:type="dxa"/>
          </w:tcPr>
          <w:p w:rsidR="00E479B2" w:rsidRPr="00C73038" w:rsidRDefault="004C762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Pipeline Accuracy</w:t>
            </w:r>
          </w:p>
        </w:tc>
        <w:tc>
          <w:tcPr>
            <w:tcW w:w="5239" w:type="dxa"/>
          </w:tcPr>
          <w:p w:rsidR="00E479B2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Real</w:t>
            </w:r>
            <w:r w:rsidR="0016037A" w:rsidRPr="00C73038">
              <w:rPr>
                <w:noProof/>
                <w:sz w:val="20"/>
                <w:szCs w:val="20"/>
              </w:rPr>
              <w:t xml:space="preserve"> time updating of pipeline</w:t>
            </w:r>
            <w:r w:rsidR="004C762E" w:rsidRPr="00C73038">
              <w:rPr>
                <w:noProof/>
                <w:sz w:val="20"/>
                <w:szCs w:val="20"/>
              </w:rPr>
              <w:t xml:space="preserve"> including budgeting, sales stage, expected close date, etc.</w:t>
            </w:r>
            <w:r w:rsidRPr="00C73038">
              <w:rPr>
                <w:noProof/>
                <w:sz w:val="20"/>
                <w:szCs w:val="20"/>
              </w:rPr>
              <w:t xml:space="preserve"> result in the following: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opportunities without any next action.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opportuniteis with past due activities.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C0544B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No o</w:t>
            </w:r>
            <w:r w:rsidR="001F281D" w:rsidRPr="00C73038">
              <w:rPr>
                <w:noProof/>
                <w:sz w:val="20"/>
                <w:szCs w:val="20"/>
              </w:rPr>
              <w:t>pportunities without budget assigned.</w:t>
            </w: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1F281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stage assigned is appropriate for target completion date.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1F281D" w:rsidRPr="00C73038" w:rsidRDefault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Sales board</w:t>
            </w:r>
            <w:r w:rsidR="00C0544B" w:rsidRPr="00C73038">
              <w:rPr>
                <w:noProof/>
                <w:sz w:val="20"/>
                <w:szCs w:val="20"/>
              </w:rPr>
              <w:t xml:space="preserve"> tickets metrics (ticket count and ticket age). </w:t>
            </w: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Client business justification for close date / number of moved close dates.</w:t>
            </w:r>
          </w:p>
          <w:p w:rsidR="00520984" w:rsidRPr="00C73038" w:rsidRDefault="00520984">
            <w:pPr>
              <w:rPr>
                <w:noProof/>
                <w:sz w:val="20"/>
                <w:szCs w:val="20"/>
              </w:rPr>
            </w:pPr>
          </w:p>
          <w:p w:rsidR="00EE1FEF" w:rsidRPr="00C73038" w:rsidRDefault="00EE1FEF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Accurate core use of CRM tool with regards to opportunities, activities and tickets.</w:t>
            </w:r>
          </w:p>
        </w:tc>
        <w:tc>
          <w:tcPr>
            <w:tcW w:w="2970" w:type="dxa"/>
          </w:tcPr>
          <w:p w:rsidR="00520984" w:rsidRPr="00C73038" w:rsidRDefault="00C0544B" w:rsidP="00520984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Trusted</w:t>
            </w:r>
            <w:r w:rsidR="00520984" w:rsidRPr="00C73038">
              <w:rPr>
                <w:noProof/>
                <w:sz w:val="20"/>
                <w:szCs w:val="20"/>
              </w:rPr>
              <w:t xml:space="preserve"> visibility of pipeline for net new MRR and projects.</w:t>
            </w:r>
          </w:p>
        </w:tc>
        <w:tc>
          <w:tcPr>
            <w:tcW w:w="4230" w:type="dxa"/>
          </w:tcPr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Will help to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identify skill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gaps and coaching needs</w:t>
            </w:r>
            <w:r w:rsidR="00EE1FEF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specific to sales rep.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Better </w:t>
            </w:r>
            <w:r w:rsidR="003C78FC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pipeline management will drive more results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= more $</w:t>
            </w:r>
          </w:p>
          <w:p w:rsidR="004C762E" w:rsidRPr="00C73038" w:rsidRDefault="004C762E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4C762E" w:rsidRPr="00C73038" w:rsidRDefault="003C78FC" w:rsidP="004C762E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Accurate pipeline and project forecasting helps internal team to plan project capacity; allows sales person to set proper client expectations.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Increased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credibility)</w:t>
            </w:r>
          </w:p>
          <w:p w:rsidR="004C762E" w:rsidRPr="00C73038" w:rsidRDefault="004C762E" w:rsidP="004C762E">
            <w:pPr>
              <w:ind w:left="540"/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479B2" w:rsidRPr="00C73038" w:rsidRDefault="003C78FC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Provides the ability to reverse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engineer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the </w:t>
            </w:r>
            <w:r w:rsidR="004C762E" w:rsidRPr="00C73038">
              <w:rPr>
                <w:rFonts w:ascii="Calibri" w:eastAsia="Times New Roman" w:hAnsi="Calibri" w:cs="Calibri"/>
                <w:sz w:val="20"/>
                <w:szCs w:val="20"/>
              </w:rPr>
              <w:t>sales process to know how much you need at the top of the funnel to produce your target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0C068D" w:rsidRPr="00C73038" w:rsidRDefault="000C068D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Rep will spend less time doing data entry during the sales process.</w:t>
            </w: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Improved overall time management and fewer client contacts and timelines missed.</w:t>
            </w:r>
          </w:p>
          <w:p w:rsidR="00EE1FEF" w:rsidRPr="00C73038" w:rsidRDefault="00EE1FEF" w:rsidP="00827679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479B2" w:rsidTr="000C068D">
        <w:tc>
          <w:tcPr>
            <w:tcW w:w="1781" w:type="dxa"/>
          </w:tcPr>
          <w:p w:rsidR="00E479B2" w:rsidRPr="00C73038" w:rsidRDefault="00127A5E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lastRenderedPageBreak/>
              <w:t>QBR Execution</w:t>
            </w:r>
          </w:p>
        </w:tc>
        <w:tc>
          <w:tcPr>
            <w:tcW w:w="5239" w:type="dxa"/>
          </w:tcPr>
          <w:p w:rsidR="00E479B2" w:rsidRPr="00C73038" w:rsidRDefault="000C068D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QBR executed by e</w:t>
            </w:r>
            <w:r w:rsidR="00127A5E" w:rsidRPr="00C73038">
              <w:rPr>
                <w:noProof/>
                <w:sz w:val="20"/>
                <w:szCs w:val="20"/>
              </w:rPr>
              <w:t>very client every quarter</w:t>
            </w:r>
            <w:r w:rsidRPr="00C73038">
              <w:rPr>
                <w:noProof/>
                <w:sz w:val="20"/>
                <w:szCs w:val="20"/>
              </w:rPr>
              <w:t>.</w:t>
            </w:r>
          </w:p>
          <w:p w:rsidR="000C068D" w:rsidRPr="00C73038" w:rsidRDefault="000C068D">
            <w:pPr>
              <w:rPr>
                <w:noProof/>
                <w:sz w:val="20"/>
                <w:szCs w:val="20"/>
              </w:rPr>
            </w:pPr>
          </w:p>
          <w:p w:rsidR="00127A5E" w:rsidRPr="00C73038" w:rsidRDefault="00127A5E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Annual plan for every client with associated opportunities/activities</w:t>
            </w:r>
            <w:r w:rsidR="000C068D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0C068D" w:rsidRPr="00C73038" w:rsidRDefault="000C068D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F6662D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Strategic Business IT Roadmap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completed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and reviewed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annually</w:t>
            </w:r>
            <w:r w:rsidR="000C068D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for each client.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ticket completion – A recurring QBR ticket will be used for each client and will contain critical client documents – Business Goal &amp; Overview Profile, QBR Follow-up Email, Documentation of QBR action items, Copy of QBR and .pdf of all shared documents. </w:t>
            </w: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C0544B" w:rsidRPr="00C73038" w:rsidRDefault="00C0544B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QBR CSAT Results (A CSAT-type survey will be send from the QBR ticket upon completion.)</w:t>
            </w:r>
          </w:p>
          <w:p w:rsidR="00127A5E" w:rsidRPr="00C73038" w:rsidRDefault="00127A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970" w:type="dxa"/>
          </w:tcPr>
          <w:p w:rsidR="00C73038" w:rsidRPr="00C73038" w:rsidRDefault="00C73038" w:rsidP="00C73038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Consistent level of project services sold as a result of the QBR discipline. (Minimum of 20% project pull-through from MRR.)</w:t>
            </w:r>
          </w:p>
          <w:p w:rsidR="00C73038" w:rsidRDefault="00C73038">
            <w:pPr>
              <w:rPr>
                <w:noProof/>
                <w:sz w:val="20"/>
                <w:szCs w:val="20"/>
              </w:rPr>
            </w:pPr>
          </w:p>
          <w:p w:rsidR="00127A5E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Tracking of </w:t>
            </w:r>
            <w:r w:rsidR="00C0544B" w:rsidRPr="00C73038">
              <w:rPr>
                <w:noProof/>
                <w:sz w:val="20"/>
                <w:szCs w:val="20"/>
              </w:rPr>
              <w:t>CSAT</w:t>
            </w:r>
            <w:r w:rsidR="00BE38EA">
              <w:rPr>
                <w:noProof/>
                <w:sz w:val="20"/>
                <w:szCs w:val="20"/>
              </w:rPr>
              <w:t>/NetPromoter</w:t>
            </w:r>
            <w:r w:rsidR="00C0544B" w:rsidRPr="00C73038">
              <w:rPr>
                <w:noProof/>
                <w:sz w:val="20"/>
                <w:szCs w:val="20"/>
              </w:rPr>
              <w:t xml:space="preserve"> results from QBR survey</w:t>
            </w:r>
            <w:r>
              <w:rPr>
                <w:noProof/>
                <w:sz w:val="20"/>
                <w:szCs w:val="20"/>
              </w:rPr>
              <w:t>.</w:t>
            </w:r>
          </w:p>
          <w:p w:rsidR="00D6672A" w:rsidRPr="00C73038" w:rsidRDefault="00D6672A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C7303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Project pipeline populated for 12-18 months.</w:t>
            </w:r>
          </w:p>
          <w:p w:rsidR="00C0544B" w:rsidRPr="00C73038" w:rsidRDefault="00C0544B">
            <w:pPr>
              <w:rPr>
                <w:noProof/>
                <w:sz w:val="20"/>
                <w:szCs w:val="20"/>
              </w:rPr>
            </w:pPr>
          </w:p>
          <w:p w:rsidR="000C068D" w:rsidRPr="00C73038" w:rsidRDefault="000C068D" w:rsidP="00C73038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127A5E" w:rsidRPr="00C73038" w:rsidRDefault="00D6672A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Valuable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personal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f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eedback from 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QBR 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CSAT</w:t>
            </w:r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proofErr w:type="spellStart"/>
            <w:r w:rsidR="00BE38EA">
              <w:rPr>
                <w:rFonts w:ascii="Calibri" w:eastAsia="Times New Roman" w:hAnsi="Calibri" w:cs="Calibri"/>
                <w:sz w:val="20"/>
                <w:szCs w:val="20"/>
              </w:rPr>
              <w:t>NetPromoter</w:t>
            </w:r>
            <w:proofErr w:type="spellEnd"/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survey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127A5E">
            <w:pPr>
              <w:ind w:left="1080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Reminders sent for scheduling QBR’s.</w:t>
            </w:r>
          </w:p>
          <w:p w:rsidR="000C068D" w:rsidRPr="00C73038" w:rsidRDefault="000C068D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B63ED4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Excellent visibility to past QBR meetings.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Reference action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s and 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historical information</w:t>
            </w:r>
            <w:r w:rsidR="00D6672A"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in ticket notes and documents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Allows continuity in the event of a change in rep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D6672A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127A5E" w:rsidRPr="00C73038" w:rsidRDefault="00D6672A" w:rsidP="00D6672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The ticket may be a t</w:t>
            </w:r>
            <w:r w:rsidR="00127A5E" w:rsidRPr="00C73038">
              <w:rPr>
                <w:rFonts w:ascii="Calibri" w:eastAsia="Times New Roman" w:hAnsi="Calibri" w:cs="Calibri"/>
                <w:sz w:val="20"/>
                <w:szCs w:val="20"/>
              </w:rPr>
              <w:t>oken for the team for handoff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to service, etc. for action items</w:t>
            </w:r>
            <w:r w:rsidR="00B63ED4" w:rsidRPr="00C73038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  <w:p w:rsidR="00E479B2" w:rsidRPr="00C73038" w:rsidRDefault="00E479B2">
            <w:pPr>
              <w:rPr>
                <w:noProof/>
                <w:sz w:val="20"/>
                <w:szCs w:val="20"/>
              </w:rPr>
            </w:pPr>
          </w:p>
        </w:tc>
      </w:tr>
      <w:tr w:rsidR="00905D99" w:rsidTr="000C068D">
        <w:tc>
          <w:tcPr>
            <w:tcW w:w="1781" w:type="dxa"/>
          </w:tcPr>
          <w:p w:rsidR="00905D99" w:rsidRPr="00C73038" w:rsidRDefault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Continued Learning</w:t>
            </w:r>
          </w:p>
        </w:tc>
        <w:tc>
          <w:tcPr>
            <w:tcW w:w="5239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Demonstrated basic understanding of network and systems. (Mytech Training completion.)</w:t>
            </w:r>
          </w:p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Pr="00C73038" w:rsidRDefault="00905D99" w:rsidP="00443943">
            <w:pPr>
              <w:rPr>
                <w:noProof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Demonstrated knowledge of vertical-specific regulatory requirements. (HIPAA, Security, SOC, </w:t>
            </w:r>
            <w:r w:rsidR="00443943" w:rsidRPr="00C73038">
              <w:rPr>
                <w:rFonts w:ascii="Calibri" w:eastAsia="Times New Roman" w:hAnsi="Calibri" w:cs="Calibri"/>
                <w:sz w:val="20"/>
                <w:szCs w:val="20"/>
              </w:rPr>
              <w:t>FINRA, etc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.)</w:t>
            </w:r>
          </w:p>
        </w:tc>
        <w:tc>
          <w:tcPr>
            <w:tcW w:w="2970" w:type="dxa"/>
          </w:tcPr>
          <w:p w:rsidR="00905D99" w:rsidRPr="00C73038" w:rsidRDefault="00905D99" w:rsidP="00905D99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 1 vendor cert test per quarter (</w:t>
            </w:r>
            <w:r w:rsidR="001F281D" w:rsidRPr="00C73038">
              <w:rPr>
                <w:rFonts w:ascii="Calibri" w:eastAsia="Times New Roman" w:hAnsi="Calibri" w:cs="Calibri"/>
                <w:sz w:val="20"/>
                <w:szCs w:val="20"/>
              </w:rPr>
              <w:t>SonicWALL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, Dell, APC, VMWare, Microsoft, APC, Meraki, etc.)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  <w:r w:rsidRPr="00C73038">
              <w:rPr>
                <w:noProof/>
                <w:sz w:val="20"/>
                <w:szCs w:val="20"/>
              </w:rPr>
              <w:t>Completion of annual Mytech training.</w:t>
            </w:r>
          </w:p>
          <w:p w:rsidR="00905D99" w:rsidRPr="00C73038" w:rsidRDefault="00905D99" w:rsidP="00905D99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4230" w:type="dxa"/>
          </w:tcPr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>Allows the</w:t>
            </w:r>
            <w:r w:rsidR="00574D8B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F6662D">
              <w:rPr>
                <w:rFonts w:ascii="Calibri" w:eastAsia="Times New Roman" w:hAnsi="Calibri" w:cs="Calibri"/>
                <w:sz w:val="20"/>
                <w:szCs w:val="20"/>
              </w:rPr>
              <w:t>BTA</w:t>
            </w:r>
            <w:r w:rsidRPr="00C73038">
              <w:rPr>
                <w:rFonts w:ascii="Calibri" w:eastAsia="Times New Roman" w:hAnsi="Calibri" w:cs="Calibri"/>
                <w:sz w:val="20"/>
                <w:szCs w:val="20"/>
              </w:rPr>
              <w:t xml:space="preserve"> to continue to master Mytech tools and processes to improve their ability to be a Business Consultant. (X-Factor)</w:t>
            </w:r>
          </w:p>
          <w:p w:rsidR="00905D99" w:rsidRPr="00C73038" w:rsidRDefault="00905D99" w:rsidP="00127A5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905D99" w:rsidRDefault="00905D99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:rsidR="00BE38EA" w:rsidRPr="00C73038" w:rsidRDefault="00BE38EA" w:rsidP="00C7303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6662D" w:rsidRDefault="00F6662D">
      <w:pPr>
        <w:rPr>
          <w:b/>
        </w:rPr>
      </w:pPr>
    </w:p>
    <w:p w:rsidR="00F6662D" w:rsidRDefault="00F6662D">
      <w:pPr>
        <w:rPr>
          <w:b/>
        </w:rPr>
      </w:pPr>
      <w:r>
        <w:rPr>
          <w:b/>
        </w:rPr>
        <w:br w:type="page"/>
      </w:r>
    </w:p>
    <w:p w:rsidR="00B93D80" w:rsidRPr="004D519A" w:rsidRDefault="00B93D80">
      <w:pPr>
        <w:rPr>
          <w:b/>
        </w:rPr>
      </w:pPr>
    </w:p>
    <w:tbl>
      <w:tblPr>
        <w:tblStyle w:val="TableGrid"/>
        <w:tblW w:w="14220" w:type="dxa"/>
        <w:tblInd w:w="-5" w:type="dxa"/>
        <w:tblLook w:val="04A0" w:firstRow="1" w:lastRow="0" w:firstColumn="1" w:lastColumn="0" w:noHBand="0" w:noVBand="1"/>
      </w:tblPr>
      <w:tblGrid>
        <w:gridCol w:w="1781"/>
        <w:gridCol w:w="5239"/>
        <w:gridCol w:w="2970"/>
        <w:gridCol w:w="4230"/>
      </w:tblGrid>
      <w:tr w:rsidR="00BE38EA" w:rsidTr="00693082">
        <w:tc>
          <w:tcPr>
            <w:tcW w:w="1781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Compensation Structure</w:t>
            </w:r>
          </w:p>
        </w:tc>
        <w:tc>
          <w:tcPr>
            <w:tcW w:w="5239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Key Variables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:rsidR="00BE38EA" w:rsidRPr="00827679" w:rsidRDefault="00BE38EA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Revenue Metrics</w:t>
            </w:r>
          </w:p>
        </w:tc>
        <w:tc>
          <w:tcPr>
            <w:tcW w:w="4230" w:type="dxa"/>
            <w:shd w:val="clear" w:color="auto" w:fill="2E74B5" w:themeFill="accent1" w:themeFillShade="BF"/>
          </w:tcPr>
          <w:p w:rsidR="00BE38EA" w:rsidRPr="00827679" w:rsidRDefault="00DE3E18" w:rsidP="00693082">
            <w:pPr>
              <w:rPr>
                <w:b/>
                <w:noProof/>
                <w:color w:val="FFFFFF" w:themeColor="background1"/>
              </w:rPr>
            </w:pPr>
            <w:r>
              <w:rPr>
                <w:b/>
                <w:noProof/>
                <w:color w:val="FFFFFF" w:themeColor="background1"/>
              </w:rPr>
              <w:t>Team Function</w:t>
            </w:r>
          </w:p>
        </w:tc>
      </w:tr>
      <w:tr w:rsidR="00BE38EA" w:rsidTr="00693082">
        <w:tc>
          <w:tcPr>
            <w:tcW w:w="1781" w:type="dxa"/>
          </w:tcPr>
          <w:p w:rsidR="00BE38EA" w:rsidRPr="00C73038" w:rsidRDefault="00F6662D" w:rsidP="00F6662D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Business Technology Advisor</w:t>
            </w:r>
          </w:p>
        </w:tc>
        <w:tc>
          <w:tcPr>
            <w:tcW w:w="5239" w:type="dxa"/>
          </w:tcPr>
          <w:p w:rsidR="00BE38EA" w:rsidRDefault="00BE38EA" w:rsidP="004B1896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Base Salary</w:t>
            </w:r>
          </w:p>
          <w:p w:rsidR="00BE38EA" w:rsidRDefault="00BE38EA" w:rsidP="004B1896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Commission</w:t>
            </w:r>
            <w:r w:rsidR="004B1896">
              <w:rPr>
                <w:rFonts w:ascii="Calibri" w:eastAsia="Times New Roman" w:hAnsi="Calibri" w:cs="Calibri"/>
                <w:sz w:val="20"/>
                <w:szCs w:val="20"/>
              </w:rPr>
              <w:t xml:space="preserve"> on the following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</w:p>
          <w:p w:rsidR="004B1896" w:rsidRPr="00F6662D" w:rsidRDefault="00994CE6" w:rsidP="00525291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6662D">
              <w:rPr>
                <w:rFonts w:ascii="Calibri" w:eastAsia="Times New Roman" w:hAnsi="Calibri" w:cs="Calibri"/>
                <w:sz w:val="20"/>
                <w:szCs w:val="20"/>
              </w:rPr>
              <w:t xml:space="preserve">% </w:t>
            </w:r>
            <w:r w:rsidR="00F6662D">
              <w:rPr>
                <w:rFonts w:ascii="Calibri" w:eastAsia="Times New Roman" w:hAnsi="Calibri" w:cs="Calibri"/>
                <w:sz w:val="20"/>
                <w:szCs w:val="20"/>
              </w:rPr>
              <w:t>Project Revenue</w:t>
            </w:r>
          </w:p>
          <w:p w:rsidR="004B1896" w:rsidRDefault="00994CE6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% of </w:t>
            </w:r>
            <w:r w:rsidR="004B1896">
              <w:rPr>
                <w:rFonts w:ascii="Calibri" w:eastAsia="Times New Roman" w:hAnsi="Calibri" w:cs="Calibri"/>
                <w:sz w:val="20"/>
                <w:szCs w:val="20"/>
              </w:rPr>
              <w:t xml:space="preserve">Product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Gross Margin</w:t>
            </w:r>
          </w:p>
          <w:p w:rsidR="004B1896" w:rsidRDefault="00994CE6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% of </w:t>
            </w:r>
            <w:r w:rsidR="004B1896">
              <w:rPr>
                <w:rFonts w:ascii="Calibri" w:eastAsia="Times New Roman" w:hAnsi="Calibri" w:cs="Calibri"/>
                <w:sz w:val="20"/>
                <w:szCs w:val="20"/>
              </w:rPr>
              <w:t xml:space="preserve">Hosted Services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Gross Margin</w:t>
            </w:r>
          </w:p>
          <w:p w:rsidR="004B1896" w:rsidRDefault="004B1896" w:rsidP="004B1896">
            <w:pPr>
              <w:numPr>
                <w:ilvl w:val="0"/>
                <w:numId w:val="5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Total Revenue/Gross Margin on Team</w:t>
            </w:r>
          </w:p>
          <w:p w:rsidR="004B1896" w:rsidRDefault="004B1896" w:rsidP="004B1896">
            <w:p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Bonus: </w:t>
            </w:r>
          </w:p>
          <w:p w:rsidR="00BE38EA" w:rsidRDefault="00994CE6" w:rsidP="004B1896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$ for </w:t>
            </w:r>
            <w:r w:rsidR="004B1896">
              <w:rPr>
                <w:rFonts w:ascii="Calibri" w:eastAsia="Times New Roman" w:hAnsi="Calibri" w:cs="Calibri"/>
                <w:sz w:val="20"/>
                <w:szCs w:val="20"/>
              </w:rPr>
              <w:t>Annual Goal Attainment</w:t>
            </w:r>
          </w:p>
          <w:p w:rsidR="004B1896" w:rsidRDefault="00994CE6" w:rsidP="004B1896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$ for </w:t>
            </w:r>
            <w:r w:rsidR="004B1896">
              <w:rPr>
                <w:rFonts w:ascii="Calibri" w:eastAsia="Times New Roman" w:hAnsi="Calibri" w:cs="Calibri"/>
                <w:sz w:val="20"/>
                <w:szCs w:val="20"/>
              </w:rPr>
              <w:t>Team Goal Attainment</w:t>
            </w:r>
          </w:p>
          <w:p w:rsidR="00DE3E18" w:rsidRPr="004B1896" w:rsidRDefault="00994CE6" w:rsidP="00F6662D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$ for </w:t>
            </w:r>
            <w:r w:rsidR="00DE3E18">
              <w:rPr>
                <w:rFonts w:ascii="Calibri" w:eastAsia="Times New Roman" w:hAnsi="Calibri" w:cs="Calibri"/>
                <w:sz w:val="20"/>
                <w:szCs w:val="20"/>
              </w:rPr>
              <w:t>New Agreements</w:t>
            </w:r>
          </w:p>
        </w:tc>
        <w:tc>
          <w:tcPr>
            <w:tcW w:w="2970" w:type="dxa"/>
          </w:tcPr>
          <w:p w:rsidR="00BE38EA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20% of Project Pull Through of MRR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Annualized Growth of MRR revenue</w:t>
            </w:r>
          </w:p>
          <w:p w:rsidR="004B1896" w:rsidRDefault="004B1896" w:rsidP="004B189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Targeting average of </w:t>
            </w:r>
            <w:r w:rsidR="00681129">
              <w:rPr>
                <w:noProof/>
                <w:sz w:val="20"/>
                <w:szCs w:val="20"/>
              </w:rPr>
              <w:t xml:space="preserve">30k annually or ~5k every other month. </w:t>
            </w:r>
          </w:p>
          <w:p w:rsidR="004B1896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:rsidR="004B1896" w:rsidRPr="00C73038" w:rsidRDefault="004B1896" w:rsidP="004B1896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Gross Margin on Product 20%+</w:t>
            </w:r>
          </w:p>
        </w:tc>
        <w:tc>
          <w:tcPr>
            <w:tcW w:w="4230" w:type="dxa"/>
          </w:tcPr>
          <w:p w:rsidR="00DE3E18" w:rsidRDefault="00DE3E18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Primary mentor is Team Lead</w:t>
            </w: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</w:p>
          <w:p w:rsidR="004B1896" w:rsidRDefault="00F6662D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BTA </w:t>
            </w:r>
            <w:r w:rsidR="00DE3E18">
              <w:rPr>
                <w:noProof/>
                <w:sz w:val="20"/>
                <w:szCs w:val="20"/>
              </w:rPr>
              <w:t>role will support Team Lead through g</w:t>
            </w:r>
            <w:r>
              <w:rPr>
                <w:noProof/>
                <w:sz w:val="20"/>
                <w:szCs w:val="20"/>
              </w:rPr>
              <w:t xml:space="preserve">enerating new revenue, leveraging Team for larger opportunities, and effectively supporting the Team during the transition of accounts to BTM’s. </w:t>
            </w:r>
            <w:r w:rsidR="00DE3E18">
              <w:rPr>
                <w:noProof/>
                <w:sz w:val="20"/>
                <w:szCs w:val="20"/>
              </w:rPr>
              <w:t xml:space="preserve"> </w:t>
            </w: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</w:p>
          <w:p w:rsidR="00DE3E18" w:rsidRDefault="00DE3E18" w:rsidP="0069308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Supported by Team Account Coordinator</w:t>
            </w:r>
          </w:p>
          <w:p w:rsidR="004B1896" w:rsidRDefault="004B1896" w:rsidP="00693082">
            <w:pPr>
              <w:rPr>
                <w:noProof/>
                <w:sz w:val="20"/>
                <w:szCs w:val="20"/>
              </w:rPr>
            </w:pPr>
          </w:p>
          <w:p w:rsidR="00BE38EA" w:rsidRPr="00C73038" w:rsidRDefault="004B1896" w:rsidP="00994CE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Goals of role &amp; team are 100% aligned to goals of Mytech – annualized, incremental revenue growth</w:t>
            </w:r>
          </w:p>
        </w:tc>
      </w:tr>
    </w:tbl>
    <w:p w:rsidR="00B93D80" w:rsidRDefault="00B93D80" w:rsidP="00994CE6"/>
    <w:sectPr w:rsidR="00B93D80" w:rsidSect="0016037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3016"/>
    <w:multiLevelType w:val="hybridMultilevel"/>
    <w:tmpl w:val="E676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552EF"/>
    <w:multiLevelType w:val="multilevel"/>
    <w:tmpl w:val="A7A8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432D6"/>
    <w:multiLevelType w:val="hybridMultilevel"/>
    <w:tmpl w:val="DE90F7AA"/>
    <w:lvl w:ilvl="0" w:tplc="570E0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725FD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6555DE"/>
    <w:multiLevelType w:val="multilevel"/>
    <w:tmpl w:val="5B1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E31311"/>
    <w:multiLevelType w:val="multilevel"/>
    <w:tmpl w:val="281C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C74C41"/>
    <w:multiLevelType w:val="multilevel"/>
    <w:tmpl w:val="20D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91"/>
    <w:rsid w:val="00003471"/>
    <w:rsid w:val="00092020"/>
    <w:rsid w:val="000B6466"/>
    <w:rsid w:val="000C068D"/>
    <w:rsid w:val="00127A5E"/>
    <w:rsid w:val="0016037A"/>
    <w:rsid w:val="001B6FA7"/>
    <w:rsid w:val="001F281D"/>
    <w:rsid w:val="003C78FC"/>
    <w:rsid w:val="00443943"/>
    <w:rsid w:val="004B1896"/>
    <w:rsid w:val="004C762E"/>
    <w:rsid w:val="004D519A"/>
    <w:rsid w:val="00520984"/>
    <w:rsid w:val="00574D8B"/>
    <w:rsid w:val="005C667C"/>
    <w:rsid w:val="005F0FA9"/>
    <w:rsid w:val="00681129"/>
    <w:rsid w:val="00800C4B"/>
    <w:rsid w:val="00800CE9"/>
    <w:rsid w:val="00827679"/>
    <w:rsid w:val="008355BD"/>
    <w:rsid w:val="00845D23"/>
    <w:rsid w:val="00861719"/>
    <w:rsid w:val="00905D99"/>
    <w:rsid w:val="00994CE6"/>
    <w:rsid w:val="00B63ED4"/>
    <w:rsid w:val="00B93D80"/>
    <w:rsid w:val="00BE38EA"/>
    <w:rsid w:val="00C0544B"/>
    <w:rsid w:val="00C16044"/>
    <w:rsid w:val="00C31991"/>
    <w:rsid w:val="00C73038"/>
    <w:rsid w:val="00D6672A"/>
    <w:rsid w:val="00DD47AE"/>
    <w:rsid w:val="00DE3E18"/>
    <w:rsid w:val="00E479B2"/>
    <w:rsid w:val="00EE1FEF"/>
    <w:rsid w:val="00F6662D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E2AF"/>
  <w15:chartTrackingRefBased/>
  <w15:docId w15:val="{3446ABAC-C36C-4817-AEF4-6816B8DD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18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6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Mytech Partners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Gustafson</dc:creator>
  <cp:keywords/>
  <dc:description/>
  <cp:lastModifiedBy>Nathan Austin</cp:lastModifiedBy>
  <cp:revision>6</cp:revision>
  <cp:lastPrinted>2019-01-12T18:41:00Z</cp:lastPrinted>
  <dcterms:created xsi:type="dcterms:W3CDTF">2019-01-04T21:09:00Z</dcterms:created>
  <dcterms:modified xsi:type="dcterms:W3CDTF">2019-01-12T18:42:00Z</dcterms:modified>
</cp:coreProperties>
</file>