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D74" w:rsidRPr="00F45B6A" w:rsidRDefault="003220F7">
      <w:pPr>
        <w:spacing w:line="240" w:lineRule="auto"/>
        <w:jc w:val="center"/>
        <w:rPr>
          <w:b/>
          <w:sz w:val="28"/>
          <w:szCs w:val="28"/>
          <w:lang w:val="fr-FR"/>
        </w:rPr>
      </w:pPr>
      <w:r>
        <w:rPr>
          <w:b/>
          <w:bCs/>
          <w:sz w:val="28"/>
          <w:szCs w:val="28"/>
          <w:lang w:val="fr"/>
        </w:rPr>
        <w:t>Annexe à l'</w:t>
      </w:r>
      <w:r w:rsidR="00F45B6A">
        <w:rPr>
          <w:b/>
          <w:bCs/>
          <w:sz w:val="28"/>
          <w:szCs w:val="28"/>
          <w:lang w:val="fr"/>
        </w:rPr>
        <w:t>Accord de services</w:t>
      </w:r>
      <w:r>
        <w:rPr>
          <w:b/>
          <w:bCs/>
          <w:sz w:val="28"/>
          <w:szCs w:val="28"/>
          <w:lang w:val="fr"/>
        </w:rPr>
        <w:t xml:space="preserve"> entre Clients et Partenaires de HubSpot</w:t>
      </w:r>
      <w:r>
        <w:rPr>
          <w:sz w:val="28"/>
          <w:szCs w:val="28"/>
          <w:lang w:val="fr"/>
        </w:rPr>
        <w:br/>
      </w:r>
    </w:p>
    <w:p w:rsidR="006E6D74" w:rsidRPr="00F45B6A" w:rsidRDefault="003220F7">
      <w:pPr>
        <w:spacing w:line="240" w:lineRule="auto"/>
        <w:jc w:val="both"/>
        <w:rPr>
          <w:sz w:val="24"/>
          <w:szCs w:val="24"/>
          <w:lang w:val="fr-FR"/>
        </w:rPr>
      </w:pPr>
      <w:r>
        <w:rPr>
          <w:sz w:val="24"/>
          <w:szCs w:val="24"/>
          <w:lang w:val="fr"/>
        </w:rPr>
        <w:t>HubSpot compte des milliers de partenaires dans le monde entier qui travaillent avec ses clients pour mettre en œuvre des stratégies inbound performantes. Vous recevez ce document parce que vous achetez un produit HubSpot avec l'aide d'un partenaire HubSpot et/ou parce qu'un partenaire HubSpot vous fournit des services d'</w:t>
      </w:r>
      <w:proofErr w:type="spellStart"/>
      <w:r>
        <w:rPr>
          <w:sz w:val="24"/>
          <w:szCs w:val="24"/>
          <w:lang w:val="fr"/>
        </w:rPr>
        <w:t>on</w:t>
      </w:r>
      <w:r w:rsidR="00FF44CD">
        <w:rPr>
          <w:sz w:val="24"/>
          <w:szCs w:val="24"/>
          <w:lang w:val="fr"/>
        </w:rPr>
        <w:t>boarding</w:t>
      </w:r>
      <w:proofErr w:type="spellEnd"/>
      <w:r>
        <w:rPr>
          <w:sz w:val="24"/>
          <w:szCs w:val="24"/>
          <w:lang w:val="fr"/>
        </w:rPr>
        <w:t xml:space="preserve"> liés à HubSpot.</w:t>
      </w:r>
    </w:p>
    <w:p w:rsidR="006E6D74" w:rsidRPr="00F45B6A" w:rsidRDefault="006E6D74">
      <w:pPr>
        <w:spacing w:line="240" w:lineRule="auto"/>
        <w:rPr>
          <w:sz w:val="24"/>
          <w:szCs w:val="24"/>
          <w:lang w:val="fr-FR"/>
        </w:rPr>
      </w:pPr>
    </w:p>
    <w:p w:rsidR="006E6D74" w:rsidRPr="00F45B6A" w:rsidRDefault="003220F7">
      <w:pPr>
        <w:spacing w:line="240" w:lineRule="auto"/>
        <w:jc w:val="both"/>
        <w:rPr>
          <w:sz w:val="24"/>
          <w:szCs w:val="24"/>
          <w:lang w:val="fr-FR"/>
        </w:rPr>
      </w:pPr>
      <w:r>
        <w:rPr>
          <w:sz w:val="24"/>
          <w:szCs w:val="24"/>
          <w:lang w:val="fr"/>
        </w:rPr>
        <w:t>Veuillez cocher la case qui correspond à votre situation et consulter la section pertinente. Si les deux cas de figure s'appliquent à votre situation, veuillez cocher les deux cases et remplir les deux sections.</w:t>
      </w:r>
    </w:p>
    <w:p w:rsidR="006E6D74" w:rsidRPr="00F45B6A" w:rsidRDefault="006E6D74">
      <w:pPr>
        <w:spacing w:line="240" w:lineRule="auto"/>
        <w:jc w:val="both"/>
        <w:rPr>
          <w:sz w:val="24"/>
          <w:szCs w:val="24"/>
          <w:lang w:val="fr-FR"/>
        </w:rPr>
      </w:pPr>
    </w:p>
    <w:tbl>
      <w:tblPr>
        <w:tblStyle w:val="a"/>
        <w:tblW w:w="9360"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765"/>
        <w:gridCol w:w="8595"/>
      </w:tblGrid>
      <w:tr w:rsidR="006E6D74">
        <w:trPr>
          <w:trHeight w:val="1180"/>
        </w:trPr>
        <w:tc>
          <w:tcPr>
            <w:tcW w:w="765" w:type="dxa"/>
            <w:tcBorders>
              <w:right w:val="single" w:sz="8" w:space="0" w:color="FFFFFF"/>
            </w:tcBorders>
            <w:shd w:val="clear" w:color="auto" w:fill="FFFFFF"/>
            <w:tcMar>
              <w:top w:w="100" w:type="dxa"/>
              <w:left w:w="100" w:type="dxa"/>
              <w:bottom w:w="100" w:type="dxa"/>
              <w:right w:w="100" w:type="dxa"/>
            </w:tcMar>
          </w:tcPr>
          <w:p w:rsidR="006E6D74" w:rsidRPr="00F45B6A" w:rsidRDefault="003220F7">
            <w:pPr>
              <w:widowControl w:val="0"/>
              <w:spacing w:line="240" w:lineRule="auto"/>
              <w:rPr>
                <w:b/>
                <w:sz w:val="36"/>
                <w:szCs w:val="36"/>
                <w:u w:val="single"/>
                <w:lang w:val="fr-FR"/>
              </w:rPr>
            </w:pPr>
            <w:r>
              <w:rPr>
                <w:noProof/>
                <w:lang w:val="fr"/>
              </w:rPr>
              <w:drawing>
                <wp:anchor distT="0" distB="0" distL="0" distR="0" simplePos="0" relativeHeight="251658240" behindDoc="0" locked="0" layoutInCell="1" hidden="0" allowOverlap="1">
                  <wp:simplePos x="0" y="0"/>
                  <wp:positionH relativeFrom="column">
                    <wp:posOffset>-38099</wp:posOffset>
                  </wp:positionH>
                  <wp:positionV relativeFrom="paragraph">
                    <wp:posOffset>76200</wp:posOffset>
                  </wp:positionV>
                  <wp:extent cx="309563" cy="294821"/>
                  <wp:effectExtent l="0" t="0" r="0" b="0"/>
                  <wp:wrapSquare wrapText="bothSides" distT="0" distB="0" distL="0" distR="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09563" cy="294821"/>
                          </a:xfrm>
                          <a:prstGeom prst="rect">
                            <a:avLst/>
                          </a:prstGeom>
                          <a:ln/>
                        </pic:spPr>
                      </pic:pic>
                    </a:graphicData>
                  </a:graphic>
                </wp:anchor>
              </w:drawing>
            </w:r>
          </w:p>
        </w:tc>
        <w:tc>
          <w:tcPr>
            <w:tcW w:w="8595" w:type="dxa"/>
            <w:tcBorders>
              <w:top w:val="single" w:sz="8" w:space="0" w:color="FFFFFF"/>
              <w:left w:val="single" w:sz="8" w:space="0" w:color="FFFFFF"/>
              <w:bottom w:val="single" w:sz="8" w:space="0" w:color="FFFFFF"/>
              <w:right w:val="single" w:sz="8" w:space="0" w:color="FFFFFF"/>
            </w:tcBorders>
            <w:shd w:val="clear" w:color="auto" w:fill="FFFFFF"/>
            <w:tcMar>
              <w:top w:w="100" w:type="dxa"/>
              <w:left w:w="100" w:type="dxa"/>
              <w:bottom w:w="100" w:type="dxa"/>
              <w:right w:w="100" w:type="dxa"/>
            </w:tcMar>
          </w:tcPr>
          <w:p w:rsidR="006E6D74" w:rsidRPr="00F45B6A" w:rsidRDefault="003220F7">
            <w:pPr>
              <w:widowControl w:val="0"/>
              <w:spacing w:line="240" w:lineRule="auto"/>
              <w:rPr>
                <w:b/>
                <w:sz w:val="24"/>
                <w:szCs w:val="24"/>
                <w:lang w:val="fr-FR"/>
              </w:rPr>
            </w:pPr>
            <w:r>
              <w:rPr>
                <w:b/>
                <w:bCs/>
                <w:sz w:val="24"/>
                <w:szCs w:val="24"/>
                <w:lang w:val="fr"/>
              </w:rPr>
              <w:t xml:space="preserve">J'achète un produit HubSpot avec l'aide d'un partenaire HubSpot. </w:t>
            </w:r>
          </w:p>
          <w:p w:rsidR="006E6D74" w:rsidRPr="00F45B6A" w:rsidRDefault="006E6D74">
            <w:pPr>
              <w:widowControl w:val="0"/>
              <w:spacing w:line="240" w:lineRule="auto"/>
              <w:rPr>
                <w:b/>
                <w:i/>
                <w:sz w:val="24"/>
                <w:szCs w:val="24"/>
                <w:lang w:val="fr-FR"/>
              </w:rPr>
            </w:pPr>
          </w:p>
          <w:p w:rsidR="006E6D74" w:rsidRDefault="003220F7">
            <w:pPr>
              <w:widowControl w:val="0"/>
              <w:spacing w:line="240" w:lineRule="auto"/>
              <w:rPr>
                <w:b/>
                <w:i/>
                <w:sz w:val="16"/>
                <w:szCs w:val="16"/>
              </w:rPr>
            </w:pPr>
            <w:r>
              <w:rPr>
                <w:b/>
                <w:bCs/>
                <w:i/>
                <w:iCs/>
                <w:sz w:val="16"/>
                <w:szCs w:val="16"/>
                <w:lang w:val="fr"/>
              </w:rPr>
              <w:t>Consultez la Section A.</w:t>
            </w:r>
          </w:p>
        </w:tc>
      </w:tr>
      <w:tr w:rsidR="006E6D74">
        <w:tc>
          <w:tcPr>
            <w:tcW w:w="765" w:type="dxa"/>
            <w:shd w:val="clear" w:color="auto" w:fill="FFFFFF"/>
            <w:tcMar>
              <w:top w:w="100" w:type="dxa"/>
              <w:left w:w="100" w:type="dxa"/>
              <w:bottom w:w="100" w:type="dxa"/>
              <w:right w:w="100" w:type="dxa"/>
            </w:tcMar>
          </w:tcPr>
          <w:p w:rsidR="006E6D74" w:rsidRDefault="003220F7">
            <w:pPr>
              <w:widowControl w:val="0"/>
              <w:spacing w:line="240" w:lineRule="auto"/>
              <w:rPr>
                <w:b/>
                <w:sz w:val="36"/>
                <w:szCs w:val="36"/>
                <w:u w:val="single"/>
              </w:rPr>
            </w:pPr>
            <w:r>
              <w:rPr>
                <w:noProof/>
                <w:lang w:val="fr"/>
              </w:rPr>
              <w:drawing>
                <wp:anchor distT="0" distB="0" distL="0" distR="0" simplePos="0" relativeHeight="251659264" behindDoc="0" locked="0" layoutInCell="1" hidden="0" allowOverlap="1">
                  <wp:simplePos x="0" y="0"/>
                  <wp:positionH relativeFrom="column">
                    <wp:posOffset>-47624</wp:posOffset>
                  </wp:positionH>
                  <wp:positionV relativeFrom="paragraph">
                    <wp:posOffset>142875</wp:posOffset>
                  </wp:positionV>
                  <wp:extent cx="309563" cy="294821"/>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09563" cy="294821"/>
                          </a:xfrm>
                          <a:prstGeom prst="rect">
                            <a:avLst/>
                          </a:prstGeom>
                          <a:ln/>
                        </pic:spPr>
                      </pic:pic>
                    </a:graphicData>
                  </a:graphic>
                </wp:anchor>
              </w:drawing>
            </w:r>
          </w:p>
        </w:tc>
        <w:tc>
          <w:tcPr>
            <w:tcW w:w="8595" w:type="dxa"/>
            <w:tcBorders>
              <w:top w:val="single" w:sz="8" w:space="0" w:color="FFFFFF"/>
            </w:tcBorders>
            <w:shd w:val="clear" w:color="auto" w:fill="FFFFFF"/>
            <w:tcMar>
              <w:top w:w="100" w:type="dxa"/>
              <w:left w:w="100" w:type="dxa"/>
              <w:bottom w:w="100" w:type="dxa"/>
              <w:right w:w="100" w:type="dxa"/>
            </w:tcMar>
          </w:tcPr>
          <w:p w:rsidR="006E6D74" w:rsidRPr="00F45B6A" w:rsidRDefault="003220F7">
            <w:pPr>
              <w:widowControl w:val="0"/>
              <w:spacing w:line="240" w:lineRule="auto"/>
              <w:rPr>
                <w:b/>
                <w:sz w:val="24"/>
                <w:szCs w:val="24"/>
                <w:lang w:val="fr-FR"/>
              </w:rPr>
            </w:pPr>
            <w:r>
              <w:rPr>
                <w:b/>
                <w:bCs/>
                <w:sz w:val="24"/>
                <w:szCs w:val="24"/>
                <w:lang w:val="fr"/>
              </w:rPr>
              <w:t>J'achète un produit HubSpot avec l'aide d'un partenaire HubSpot et, dans le cadre de notre accord, ce partenaire va me fournir des services d'</w:t>
            </w:r>
            <w:proofErr w:type="spellStart"/>
            <w:r>
              <w:rPr>
                <w:b/>
                <w:bCs/>
                <w:sz w:val="24"/>
                <w:szCs w:val="24"/>
                <w:lang w:val="fr"/>
              </w:rPr>
              <w:t>on</w:t>
            </w:r>
            <w:r w:rsidR="00FF44CD">
              <w:rPr>
                <w:b/>
                <w:bCs/>
                <w:sz w:val="24"/>
                <w:szCs w:val="24"/>
                <w:lang w:val="fr"/>
              </w:rPr>
              <w:t>boarding</w:t>
            </w:r>
            <w:proofErr w:type="spellEnd"/>
            <w:r>
              <w:rPr>
                <w:b/>
                <w:bCs/>
                <w:sz w:val="24"/>
                <w:szCs w:val="24"/>
                <w:lang w:val="fr"/>
              </w:rPr>
              <w:t xml:space="preserve"> liés à HubSpot.</w:t>
            </w:r>
          </w:p>
          <w:p w:rsidR="006E6D74" w:rsidRPr="00F45B6A" w:rsidRDefault="006E6D74">
            <w:pPr>
              <w:widowControl w:val="0"/>
              <w:spacing w:line="240" w:lineRule="auto"/>
              <w:rPr>
                <w:b/>
                <w:sz w:val="24"/>
                <w:szCs w:val="24"/>
                <w:lang w:val="fr-FR"/>
              </w:rPr>
            </w:pPr>
          </w:p>
          <w:p w:rsidR="006E6D74" w:rsidRDefault="003220F7">
            <w:pPr>
              <w:widowControl w:val="0"/>
              <w:spacing w:line="240" w:lineRule="auto"/>
              <w:rPr>
                <w:b/>
                <w:i/>
                <w:sz w:val="16"/>
                <w:szCs w:val="16"/>
              </w:rPr>
            </w:pPr>
            <w:r>
              <w:rPr>
                <w:b/>
                <w:bCs/>
                <w:i/>
                <w:iCs/>
                <w:sz w:val="16"/>
                <w:szCs w:val="16"/>
                <w:lang w:val="fr"/>
              </w:rPr>
              <w:t>Consultez la Section B.</w:t>
            </w:r>
          </w:p>
          <w:p w:rsidR="006E6D74" w:rsidRDefault="006E6D74">
            <w:pPr>
              <w:widowControl w:val="0"/>
              <w:spacing w:line="240" w:lineRule="auto"/>
              <w:rPr>
                <w:b/>
                <w:sz w:val="24"/>
                <w:szCs w:val="24"/>
              </w:rPr>
            </w:pPr>
          </w:p>
          <w:p w:rsidR="006E6D74" w:rsidRDefault="006E6D74">
            <w:pPr>
              <w:widowControl w:val="0"/>
              <w:spacing w:line="240" w:lineRule="auto"/>
              <w:rPr>
                <w:b/>
                <w:sz w:val="24"/>
                <w:szCs w:val="24"/>
              </w:rPr>
            </w:pPr>
          </w:p>
        </w:tc>
      </w:tr>
    </w:tbl>
    <w:p w:rsidR="006E6D74" w:rsidRDefault="006E6D74">
      <w:pPr>
        <w:spacing w:line="240" w:lineRule="auto"/>
        <w:rPr>
          <w:b/>
          <w:sz w:val="36"/>
          <w:szCs w:val="36"/>
          <w:u w:val="single"/>
        </w:rPr>
      </w:pPr>
    </w:p>
    <w:p w:rsidR="006E6D74" w:rsidRDefault="003220F7">
      <w:pPr>
        <w:spacing w:line="240" w:lineRule="auto"/>
        <w:rPr>
          <w:b/>
          <w:sz w:val="36"/>
          <w:szCs w:val="36"/>
          <w:u w:val="single"/>
        </w:rPr>
      </w:pPr>
      <w:r>
        <w:rPr>
          <w:b/>
          <w:bCs/>
          <w:sz w:val="36"/>
          <w:szCs w:val="36"/>
          <w:u w:val="single"/>
          <w:lang w:val="fr"/>
        </w:rPr>
        <w:t>SECTION A</w:t>
      </w:r>
    </w:p>
    <w:p w:rsidR="006E6D74" w:rsidRDefault="006E6D74">
      <w:pPr>
        <w:spacing w:line="240" w:lineRule="auto"/>
        <w:jc w:val="center"/>
        <w:rPr>
          <w:b/>
          <w:sz w:val="28"/>
          <w:szCs w:val="28"/>
        </w:rPr>
      </w:pPr>
    </w:p>
    <w:p w:rsidR="006E6D74" w:rsidRPr="00F45B6A" w:rsidRDefault="003220F7">
      <w:pPr>
        <w:spacing w:line="240" w:lineRule="auto"/>
        <w:rPr>
          <w:sz w:val="24"/>
          <w:szCs w:val="24"/>
          <w:lang w:val="fr-FR"/>
        </w:rPr>
      </w:pPr>
      <w:r>
        <w:rPr>
          <w:sz w:val="24"/>
          <w:szCs w:val="24"/>
          <w:lang w:val="fr"/>
        </w:rPr>
        <w:t>En signant ce document, je ____________________ (</w:t>
      </w:r>
      <w:r>
        <w:rPr>
          <w:i/>
          <w:iCs/>
          <w:sz w:val="24"/>
          <w:szCs w:val="24"/>
          <w:lang w:val="fr"/>
        </w:rPr>
        <w:t>nom du client, le « Client »</w:t>
      </w:r>
      <w:r>
        <w:rPr>
          <w:sz w:val="24"/>
          <w:szCs w:val="24"/>
          <w:lang w:val="fr"/>
        </w:rPr>
        <w:t xml:space="preserve">) certifie acheter le(s) produit(s) suivant(s) avec </w:t>
      </w:r>
      <w:r>
        <w:rPr>
          <w:sz w:val="24"/>
          <w:szCs w:val="24"/>
          <w:u w:val="single"/>
          <w:lang w:val="fr"/>
        </w:rPr>
        <w:t>____________________</w:t>
      </w:r>
      <w:r>
        <w:rPr>
          <w:sz w:val="24"/>
          <w:szCs w:val="24"/>
          <w:lang w:val="fr"/>
        </w:rPr>
        <w:t xml:space="preserve"> </w:t>
      </w:r>
      <w:r>
        <w:rPr>
          <w:i/>
          <w:iCs/>
          <w:sz w:val="24"/>
          <w:szCs w:val="24"/>
          <w:lang w:val="fr"/>
        </w:rPr>
        <w:t>(Nom de l'</w:t>
      </w:r>
      <w:r w:rsidR="00F45B6A">
        <w:rPr>
          <w:i/>
          <w:iCs/>
          <w:sz w:val="24"/>
          <w:szCs w:val="24"/>
          <w:lang w:val="fr"/>
        </w:rPr>
        <w:t>a</w:t>
      </w:r>
      <w:r>
        <w:rPr>
          <w:i/>
          <w:iCs/>
          <w:sz w:val="24"/>
          <w:szCs w:val="24"/>
          <w:lang w:val="fr"/>
        </w:rPr>
        <w:t>gence partenaire de HubSpot, le « Partenaire ») :</w:t>
      </w:r>
      <w:r>
        <w:rPr>
          <w:sz w:val="24"/>
          <w:szCs w:val="24"/>
          <w:lang w:val="fr"/>
        </w:rPr>
        <w:br/>
      </w:r>
    </w:p>
    <w:p w:rsidR="006E6D74" w:rsidRPr="00F45B6A" w:rsidRDefault="003220F7">
      <w:pPr>
        <w:spacing w:line="240" w:lineRule="auto"/>
        <w:rPr>
          <w:i/>
          <w:sz w:val="18"/>
          <w:szCs w:val="18"/>
          <w:lang w:val="fr-FR"/>
        </w:rPr>
      </w:pPr>
      <w:r>
        <w:rPr>
          <w:i/>
          <w:iCs/>
          <w:sz w:val="18"/>
          <w:szCs w:val="18"/>
          <w:lang w:val="fr"/>
        </w:rPr>
        <w:t>Veuillez cocher la case appropriée (si vous achetez plusieurs produits, cochez toutes les cases qui s'appliquent).</w:t>
      </w:r>
    </w:p>
    <w:p w:rsidR="006E6D74" w:rsidRPr="00F45B6A" w:rsidRDefault="006E6D74">
      <w:pPr>
        <w:spacing w:line="240" w:lineRule="auto"/>
        <w:rPr>
          <w:i/>
          <w:sz w:val="18"/>
          <w:szCs w:val="18"/>
          <w:lang w:val="fr-FR"/>
        </w:rPr>
      </w:pPr>
    </w:p>
    <w:tbl>
      <w:tblPr>
        <w:tblStyle w:val="a0"/>
        <w:tblW w:w="9360" w:type="dxa"/>
        <w:tblInd w:w="0" w:type="dxa"/>
        <w:tblLayout w:type="fixed"/>
        <w:tblLook w:val="0600" w:firstRow="0" w:lastRow="0" w:firstColumn="0" w:lastColumn="0" w:noHBand="1" w:noVBand="1"/>
      </w:tblPr>
      <w:tblGrid>
        <w:gridCol w:w="615"/>
        <w:gridCol w:w="4065"/>
        <w:gridCol w:w="660"/>
        <w:gridCol w:w="4020"/>
      </w:tblGrid>
      <w:tr w:rsidR="006E6D74">
        <w:tc>
          <w:tcPr>
            <w:tcW w:w="615" w:type="dxa"/>
            <w:shd w:val="clear" w:color="auto" w:fill="auto"/>
            <w:tcMar>
              <w:top w:w="100" w:type="dxa"/>
              <w:left w:w="100" w:type="dxa"/>
              <w:bottom w:w="100" w:type="dxa"/>
              <w:right w:w="100" w:type="dxa"/>
            </w:tcMar>
          </w:tcPr>
          <w:p w:rsidR="006E6D74" w:rsidRDefault="003220F7">
            <w:pPr>
              <w:spacing w:line="240" w:lineRule="auto"/>
              <w:rPr>
                <w:b/>
                <w:sz w:val="32"/>
                <w:szCs w:val="32"/>
              </w:rPr>
            </w:pPr>
            <w:r>
              <w:rPr>
                <w:b/>
                <w:bCs/>
                <w:noProof/>
                <w:sz w:val="32"/>
                <w:szCs w:val="32"/>
                <w:lang w:val="fr"/>
              </w:rPr>
              <w:drawing>
                <wp:inline distT="114300" distB="114300" distL="114300" distR="114300">
                  <wp:extent cx="257175" cy="24130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57175" cy="241300"/>
                          </a:xfrm>
                          <a:prstGeom prst="rect">
                            <a:avLst/>
                          </a:prstGeom>
                          <a:ln/>
                        </pic:spPr>
                      </pic:pic>
                    </a:graphicData>
                  </a:graphic>
                </wp:inline>
              </w:drawing>
            </w:r>
          </w:p>
        </w:tc>
        <w:tc>
          <w:tcPr>
            <w:tcW w:w="4065" w:type="dxa"/>
            <w:shd w:val="clear" w:color="auto" w:fill="auto"/>
            <w:tcMar>
              <w:top w:w="100" w:type="dxa"/>
              <w:left w:w="100" w:type="dxa"/>
              <w:bottom w:w="100" w:type="dxa"/>
              <w:right w:w="100" w:type="dxa"/>
            </w:tcMar>
          </w:tcPr>
          <w:p w:rsidR="006E6D74" w:rsidRDefault="003220F7">
            <w:pPr>
              <w:spacing w:line="240" w:lineRule="auto"/>
              <w:rPr>
                <w:i/>
                <w:sz w:val="14"/>
                <w:szCs w:val="14"/>
              </w:rPr>
            </w:pPr>
            <w:r>
              <w:rPr>
                <w:b/>
                <w:bCs/>
                <w:sz w:val="32"/>
                <w:szCs w:val="32"/>
                <w:lang w:val="fr"/>
              </w:rPr>
              <w:t>Hub Marketing</w:t>
            </w:r>
          </w:p>
        </w:tc>
        <w:tc>
          <w:tcPr>
            <w:tcW w:w="660" w:type="dxa"/>
            <w:shd w:val="clear" w:color="auto" w:fill="auto"/>
            <w:tcMar>
              <w:top w:w="100" w:type="dxa"/>
              <w:left w:w="100" w:type="dxa"/>
              <w:bottom w:w="100" w:type="dxa"/>
              <w:right w:w="100" w:type="dxa"/>
            </w:tcMar>
          </w:tcPr>
          <w:p w:rsidR="006E6D74" w:rsidRDefault="003220F7">
            <w:pPr>
              <w:spacing w:line="240" w:lineRule="auto"/>
              <w:rPr>
                <w:b/>
                <w:sz w:val="32"/>
                <w:szCs w:val="32"/>
              </w:rPr>
            </w:pPr>
            <w:r>
              <w:rPr>
                <w:b/>
                <w:bCs/>
                <w:noProof/>
                <w:sz w:val="32"/>
                <w:szCs w:val="32"/>
                <w:lang w:val="fr"/>
              </w:rPr>
              <w:drawing>
                <wp:inline distT="114300" distB="114300" distL="114300" distR="114300">
                  <wp:extent cx="257175" cy="2413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57175" cy="241300"/>
                          </a:xfrm>
                          <a:prstGeom prst="rect">
                            <a:avLst/>
                          </a:prstGeom>
                          <a:ln/>
                        </pic:spPr>
                      </pic:pic>
                    </a:graphicData>
                  </a:graphic>
                </wp:inline>
              </w:drawing>
            </w:r>
          </w:p>
        </w:tc>
        <w:tc>
          <w:tcPr>
            <w:tcW w:w="4020" w:type="dxa"/>
            <w:shd w:val="clear" w:color="auto" w:fill="auto"/>
            <w:tcMar>
              <w:top w:w="100" w:type="dxa"/>
              <w:left w:w="100" w:type="dxa"/>
              <w:bottom w:w="100" w:type="dxa"/>
              <w:right w:w="100" w:type="dxa"/>
            </w:tcMar>
          </w:tcPr>
          <w:p w:rsidR="006E6D74" w:rsidRDefault="003220F7">
            <w:pPr>
              <w:spacing w:line="240" w:lineRule="auto"/>
              <w:rPr>
                <w:i/>
                <w:sz w:val="14"/>
                <w:szCs w:val="14"/>
              </w:rPr>
            </w:pPr>
            <w:r>
              <w:rPr>
                <w:b/>
                <w:bCs/>
                <w:sz w:val="32"/>
                <w:szCs w:val="32"/>
                <w:lang w:val="fr"/>
              </w:rPr>
              <w:t>CMS</w:t>
            </w:r>
          </w:p>
        </w:tc>
      </w:tr>
      <w:tr w:rsidR="006E6D74">
        <w:tc>
          <w:tcPr>
            <w:tcW w:w="615" w:type="dxa"/>
            <w:shd w:val="clear" w:color="auto" w:fill="auto"/>
            <w:tcMar>
              <w:top w:w="100" w:type="dxa"/>
              <w:left w:w="100" w:type="dxa"/>
              <w:bottom w:w="100" w:type="dxa"/>
              <w:right w:w="100" w:type="dxa"/>
            </w:tcMar>
          </w:tcPr>
          <w:p w:rsidR="006E6D74" w:rsidRDefault="003220F7">
            <w:pPr>
              <w:spacing w:line="240" w:lineRule="auto"/>
              <w:rPr>
                <w:b/>
                <w:sz w:val="32"/>
                <w:szCs w:val="32"/>
              </w:rPr>
            </w:pPr>
            <w:r>
              <w:rPr>
                <w:b/>
                <w:bCs/>
                <w:noProof/>
                <w:sz w:val="32"/>
                <w:szCs w:val="32"/>
                <w:lang w:val="fr"/>
              </w:rPr>
              <w:drawing>
                <wp:inline distT="114300" distB="114300" distL="114300" distR="114300">
                  <wp:extent cx="257175" cy="241300"/>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57175" cy="241300"/>
                          </a:xfrm>
                          <a:prstGeom prst="rect">
                            <a:avLst/>
                          </a:prstGeom>
                          <a:ln/>
                        </pic:spPr>
                      </pic:pic>
                    </a:graphicData>
                  </a:graphic>
                </wp:inline>
              </w:drawing>
            </w:r>
          </w:p>
        </w:tc>
        <w:tc>
          <w:tcPr>
            <w:tcW w:w="4065" w:type="dxa"/>
            <w:shd w:val="clear" w:color="auto" w:fill="auto"/>
            <w:tcMar>
              <w:top w:w="100" w:type="dxa"/>
              <w:left w:w="100" w:type="dxa"/>
              <w:bottom w:w="100" w:type="dxa"/>
              <w:right w:w="100" w:type="dxa"/>
            </w:tcMar>
          </w:tcPr>
          <w:p w:rsidR="006E6D74" w:rsidRDefault="003220F7">
            <w:pPr>
              <w:spacing w:line="240" w:lineRule="auto"/>
              <w:rPr>
                <w:i/>
                <w:sz w:val="14"/>
                <w:szCs w:val="14"/>
              </w:rPr>
            </w:pPr>
            <w:r>
              <w:rPr>
                <w:b/>
                <w:bCs/>
                <w:sz w:val="32"/>
                <w:szCs w:val="32"/>
                <w:lang w:val="fr"/>
              </w:rPr>
              <w:t>Hub Sales</w:t>
            </w:r>
          </w:p>
        </w:tc>
        <w:tc>
          <w:tcPr>
            <w:tcW w:w="660" w:type="dxa"/>
            <w:shd w:val="clear" w:color="auto" w:fill="auto"/>
            <w:tcMar>
              <w:top w:w="100" w:type="dxa"/>
              <w:left w:w="100" w:type="dxa"/>
              <w:bottom w:w="100" w:type="dxa"/>
              <w:right w:w="100" w:type="dxa"/>
            </w:tcMar>
          </w:tcPr>
          <w:p w:rsidR="006E6D74" w:rsidRDefault="003220F7">
            <w:pPr>
              <w:spacing w:line="240" w:lineRule="auto"/>
              <w:rPr>
                <w:b/>
                <w:sz w:val="32"/>
                <w:szCs w:val="32"/>
              </w:rPr>
            </w:pPr>
            <w:r>
              <w:rPr>
                <w:b/>
                <w:bCs/>
                <w:noProof/>
                <w:sz w:val="32"/>
                <w:szCs w:val="32"/>
                <w:lang w:val="fr"/>
              </w:rPr>
              <w:drawing>
                <wp:inline distT="114300" distB="114300" distL="114300" distR="114300">
                  <wp:extent cx="257175" cy="241300"/>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57175" cy="241300"/>
                          </a:xfrm>
                          <a:prstGeom prst="rect">
                            <a:avLst/>
                          </a:prstGeom>
                          <a:ln/>
                        </pic:spPr>
                      </pic:pic>
                    </a:graphicData>
                  </a:graphic>
                </wp:inline>
              </w:drawing>
            </w:r>
          </w:p>
        </w:tc>
        <w:tc>
          <w:tcPr>
            <w:tcW w:w="4020" w:type="dxa"/>
            <w:shd w:val="clear" w:color="auto" w:fill="auto"/>
            <w:tcMar>
              <w:top w:w="100" w:type="dxa"/>
              <w:left w:w="100" w:type="dxa"/>
              <w:bottom w:w="100" w:type="dxa"/>
              <w:right w:w="100" w:type="dxa"/>
            </w:tcMar>
          </w:tcPr>
          <w:p w:rsidR="006E6D74" w:rsidRDefault="003220F7">
            <w:pPr>
              <w:spacing w:line="240" w:lineRule="auto"/>
              <w:rPr>
                <w:i/>
                <w:sz w:val="14"/>
                <w:szCs w:val="14"/>
              </w:rPr>
            </w:pPr>
            <w:r>
              <w:rPr>
                <w:b/>
                <w:bCs/>
                <w:sz w:val="32"/>
                <w:szCs w:val="32"/>
                <w:lang w:val="fr"/>
              </w:rPr>
              <w:t>Rapports</w:t>
            </w:r>
          </w:p>
        </w:tc>
      </w:tr>
      <w:tr w:rsidR="006E6D74">
        <w:trPr>
          <w:trHeight w:val="660"/>
        </w:trPr>
        <w:tc>
          <w:tcPr>
            <w:tcW w:w="615" w:type="dxa"/>
            <w:shd w:val="clear" w:color="auto" w:fill="auto"/>
            <w:tcMar>
              <w:top w:w="100" w:type="dxa"/>
              <w:left w:w="100" w:type="dxa"/>
              <w:bottom w:w="100" w:type="dxa"/>
              <w:right w:w="100" w:type="dxa"/>
            </w:tcMar>
          </w:tcPr>
          <w:p w:rsidR="006E6D74" w:rsidRDefault="003220F7">
            <w:pPr>
              <w:spacing w:line="240" w:lineRule="auto"/>
              <w:rPr>
                <w:b/>
                <w:sz w:val="32"/>
                <w:szCs w:val="32"/>
              </w:rPr>
            </w:pPr>
            <w:r>
              <w:rPr>
                <w:b/>
                <w:bCs/>
                <w:noProof/>
                <w:sz w:val="32"/>
                <w:szCs w:val="32"/>
                <w:lang w:val="fr"/>
              </w:rPr>
              <w:drawing>
                <wp:inline distT="114300" distB="114300" distL="114300" distR="114300">
                  <wp:extent cx="257175" cy="241300"/>
                  <wp:effectExtent l="0" t="0" r="0" b="0"/>
                  <wp:docPr id="1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57175" cy="241300"/>
                          </a:xfrm>
                          <a:prstGeom prst="rect">
                            <a:avLst/>
                          </a:prstGeom>
                          <a:ln/>
                        </pic:spPr>
                      </pic:pic>
                    </a:graphicData>
                  </a:graphic>
                </wp:inline>
              </w:drawing>
            </w:r>
          </w:p>
        </w:tc>
        <w:tc>
          <w:tcPr>
            <w:tcW w:w="4065" w:type="dxa"/>
            <w:shd w:val="clear" w:color="auto" w:fill="auto"/>
            <w:tcMar>
              <w:top w:w="100" w:type="dxa"/>
              <w:left w:w="100" w:type="dxa"/>
              <w:bottom w:w="100" w:type="dxa"/>
              <w:right w:w="100" w:type="dxa"/>
            </w:tcMar>
          </w:tcPr>
          <w:p w:rsidR="006E6D74" w:rsidRDefault="003220F7">
            <w:pPr>
              <w:spacing w:line="240" w:lineRule="auto"/>
              <w:rPr>
                <w:i/>
                <w:sz w:val="14"/>
                <w:szCs w:val="14"/>
              </w:rPr>
            </w:pPr>
            <w:r>
              <w:rPr>
                <w:b/>
                <w:bCs/>
                <w:sz w:val="32"/>
                <w:szCs w:val="32"/>
                <w:lang w:val="fr"/>
              </w:rPr>
              <w:t>Hub Services</w:t>
            </w:r>
          </w:p>
        </w:tc>
        <w:tc>
          <w:tcPr>
            <w:tcW w:w="660" w:type="dxa"/>
            <w:shd w:val="clear" w:color="auto" w:fill="auto"/>
            <w:tcMar>
              <w:top w:w="100" w:type="dxa"/>
              <w:left w:w="100" w:type="dxa"/>
              <w:bottom w:w="100" w:type="dxa"/>
              <w:right w:w="100" w:type="dxa"/>
            </w:tcMar>
          </w:tcPr>
          <w:p w:rsidR="006E6D74" w:rsidRDefault="003220F7">
            <w:pPr>
              <w:spacing w:line="240" w:lineRule="auto"/>
              <w:rPr>
                <w:b/>
                <w:sz w:val="32"/>
                <w:szCs w:val="32"/>
              </w:rPr>
            </w:pPr>
            <w:r>
              <w:rPr>
                <w:b/>
                <w:bCs/>
                <w:noProof/>
                <w:sz w:val="32"/>
                <w:szCs w:val="32"/>
                <w:lang w:val="fr"/>
              </w:rPr>
              <w:drawing>
                <wp:inline distT="114300" distB="114300" distL="114300" distR="114300">
                  <wp:extent cx="257175" cy="24130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57175" cy="241300"/>
                          </a:xfrm>
                          <a:prstGeom prst="rect">
                            <a:avLst/>
                          </a:prstGeom>
                          <a:ln/>
                        </pic:spPr>
                      </pic:pic>
                    </a:graphicData>
                  </a:graphic>
                </wp:inline>
              </w:drawing>
            </w:r>
          </w:p>
        </w:tc>
        <w:tc>
          <w:tcPr>
            <w:tcW w:w="4020" w:type="dxa"/>
            <w:shd w:val="clear" w:color="auto" w:fill="auto"/>
            <w:tcMar>
              <w:top w:w="100" w:type="dxa"/>
              <w:left w:w="100" w:type="dxa"/>
              <w:bottom w:w="100" w:type="dxa"/>
              <w:right w:w="100" w:type="dxa"/>
            </w:tcMar>
          </w:tcPr>
          <w:p w:rsidR="006E6D74" w:rsidRDefault="003220F7">
            <w:pPr>
              <w:spacing w:line="240" w:lineRule="auto"/>
              <w:rPr>
                <w:i/>
                <w:sz w:val="14"/>
                <w:szCs w:val="14"/>
              </w:rPr>
            </w:pPr>
            <w:r>
              <w:rPr>
                <w:b/>
                <w:bCs/>
                <w:sz w:val="32"/>
                <w:szCs w:val="32"/>
                <w:lang w:val="fr"/>
              </w:rPr>
              <w:t>API</w:t>
            </w:r>
          </w:p>
        </w:tc>
      </w:tr>
    </w:tbl>
    <w:p w:rsidR="006E6D74" w:rsidRDefault="006E6D74">
      <w:pPr>
        <w:spacing w:line="240" w:lineRule="auto"/>
        <w:rPr>
          <w:i/>
          <w:sz w:val="18"/>
          <w:szCs w:val="18"/>
        </w:rPr>
      </w:pPr>
    </w:p>
    <w:p w:rsidR="006E6D74" w:rsidRDefault="006E6D74">
      <w:pPr>
        <w:spacing w:line="240" w:lineRule="auto"/>
        <w:rPr>
          <w:b/>
          <w:sz w:val="36"/>
          <w:szCs w:val="36"/>
          <w:u w:val="single"/>
        </w:rPr>
      </w:pPr>
    </w:p>
    <w:p w:rsidR="006E6D74" w:rsidRDefault="006E6D74">
      <w:pPr>
        <w:spacing w:line="240" w:lineRule="auto"/>
        <w:rPr>
          <w:b/>
          <w:sz w:val="18"/>
          <w:szCs w:val="18"/>
          <w:u w:val="single"/>
        </w:rPr>
      </w:pPr>
    </w:p>
    <w:p w:rsidR="006E6D74" w:rsidRDefault="003220F7">
      <w:pPr>
        <w:spacing w:line="240" w:lineRule="auto"/>
        <w:rPr>
          <w:b/>
          <w:sz w:val="36"/>
          <w:szCs w:val="36"/>
          <w:u w:val="single"/>
        </w:rPr>
      </w:pPr>
      <w:r>
        <w:rPr>
          <w:b/>
          <w:bCs/>
          <w:sz w:val="36"/>
          <w:szCs w:val="36"/>
          <w:u w:val="single"/>
          <w:lang w:val="fr"/>
        </w:rPr>
        <w:lastRenderedPageBreak/>
        <w:t>SECTION B</w:t>
      </w:r>
    </w:p>
    <w:p w:rsidR="006E6D74" w:rsidRDefault="006E6D74">
      <w:pPr>
        <w:spacing w:line="240" w:lineRule="auto"/>
        <w:rPr>
          <w:sz w:val="24"/>
          <w:szCs w:val="24"/>
        </w:rPr>
      </w:pPr>
    </w:p>
    <w:p w:rsidR="006E6D74" w:rsidRPr="00F45B6A" w:rsidRDefault="003220F7">
      <w:pPr>
        <w:spacing w:line="240" w:lineRule="auto"/>
        <w:rPr>
          <w:sz w:val="24"/>
          <w:szCs w:val="24"/>
          <w:lang w:val="fr-FR"/>
        </w:rPr>
      </w:pPr>
      <w:r>
        <w:rPr>
          <w:sz w:val="24"/>
          <w:szCs w:val="24"/>
          <w:lang w:val="fr"/>
        </w:rPr>
        <w:t>En signant ce document, je ____________________ (</w:t>
      </w:r>
      <w:r>
        <w:rPr>
          <w:i/>
          <w:iCs/>
          <w:sz w:val="24"/>
          <w:szCs w:val="24"/>
          <w:lang w:val="fr"/>
        </w:rPr>
        <w:t>nom du client, le « Client »</w:t>
      </w:r>
      <w:r>
        <w:rPr>
          <w:sz w:val="24"/>
          <w:szCs w:val="24"/>
          <w:lang w:val="fr"/>
        </w:rPr>
        <w:t>) certifie avoir conclu un accord (« </w:t>
      </w:r>
      <w:r w:rsidR="00F45B6A">
        <w:rPr>
          <w:sz w:val="24"/>
          <w:szCs w:val="24"/>
          <w:lang w:val="fr"/>
        </w:rPr>
        <w:t>Accord de services</w:t>
      </w:r>
      <w:r>
        <w:rPr>
          <w:sz w:val="24"/>
          <w:szCs w:val="24"/>
          <w:lang w:val="fr"/>
        </w:rPr>
        <w:t xml:space="preserve"> ») avec </w:t>
      </w:r>
      <w:r>
        <w:rPr>
          <w:sz w:val="24"/>
          <w:szCs w:val="24"/>
          <w:u w:val="single"/>
          <w:lang w:val="fr"/>
        </w:rPr>
        <w:t>____________________</w:t>
      </w:r>
      <w:r>
        <w:rPr>
          <w:sz w:val="24"/>
          <w:szCs w:val="24"/>
          <w:lang w:val="fr"/>
        </w:rPr>
        <w:t xml:space="preserve"> </w:t>
      </w:r>
      <w:r>
        <w:rPr>
          <w:i/>
          <w:iCs/>
          <w:sz w:val="24"/>
          <w:szCs w:val="24"/>
          <w:lang w:val="fr"/>
        </w:rPr>
        <w:t>(Nom de l'</w:t>
      </w:r>
      <w:r w:rsidR="00F45B6A">
        <w:rPr>
          <w:i/>
          <w:iCs/>
          <w:sz w:val="24"/>
          <w:szCs w:val="24"/>
          <w:lang w:val="fr"/>
        </w:rPr>
        <w:t>a</w:t>
      </w:r>
      <w:r>
        <w:rPr>
          <w:i/>
          <w:iCs/>
          <w:sz w:val="24"/>
          <w:szCs w:val="24"/>
          <w:lang w:val="fr"/>
        </w:rPr>
        <w:t xml:space="preserve">gence partenaire de HubSpot, le « Partenaire ») </w:t>
      </w:r>
      <w:r>
        <w:rPr>
          <w:sz w:val="24"/>
          <w:szCs w:val="24"/>
          <w:lang w:val="fr"/>
        </w:rPr>
        <w:t>pour que ledit Partenaire fournisse des services d'</w:t>
      </w:r>
      <w:proofErr w:type="spellStart"/>
      <w:r>
        <w:rPr>
          <w:sz w:val="24"/>
          <w:szCs w:val="24"/>
          <w:lang w:val="fr"/>
        </w:rPr>
        <w:t>on</w:t>
      </w:r>
      <w:r w:rsidR="00FF44CD">
        <w:rPr>
          <w:sz w:val="24"/>
          <w:szCs w:val="24"/>
          <w:lang w:val="fr"/>
        </w:rPr>
        <w:t>boarding</w:t>
      </w:r>
      <w:proofErr w:type="spellEnd"/>
      <w:r>
        <w:rPr>
          <w:sz w:val="24"/>
          <w:szCs w:val="24"/>
          <w:lang w:val="fr"/>
        </w:rPr>
        <w:t xml:space="preserve"> liés à HubSpot qui soient équivalents aux services HubSpot décrits ci-dessous*. En travaillant avec ce Partenaire, j'atteste pouvoir renoncer, le cas échéant, au service d'</w:t>
      </w:r>
      <w:proofErr w:type="spellStart"/>
      <w:r w:rsidR="00FF44CD">
        <w:rPr>
          <w:sz w:val="24"/>
          <w:szCs w:val="24"/>
          <w:lang w:val="fr"/>
        </w:rPr>
        <w:t>onboarding</w:t>
      </w:r>
      <w:proofErr w:type="spellEnd"/>
      <w:r>
        <w:rPr>
          <w:sz w:val="24"/>
          <w:szCs w:val="24"/>
          <w:lang w:val="fr"/>
        </w:rPr>
        <w:t xml:space="preserve"> direct de HubSpot.</w:t>
      </w:r>
    </w:p>
    <w:p w:rsidR="006E6D74" w:rsidRPr="00F45B6A" w:rsidRDefault="006E6D74">
      <w:pPr>
        <w:spacing w:line="240" w:lineRule="auto"/>
        <w:rPr>
          <w:sz w:val="24"/>
          <w:szCs w:val="24"/>
          <w:lang w:val="fr-FR"/>
        </w:rPr>
      </w:pPr>
    </w:p>
    <w:p w:rsidR="006E6D74" w:rsidRPr="00F45B6A" w:rsidRDefault="003220F7">
      <w:pPr>
        <w:spacing w:line="240" w:lineRule="auto"/>
        <w:rPr>
          <w:sz w:val="24"/>
          <w:szCs w:val="24"/>
          <w:lang w:val="fr-FR"/>
        </w:rPr>
      </w:pPr>
      <w:r>
        <w:rPr>
          <w:i/>
          <w:iCs/>
          <w:sz w:val="18"/>
          <w:szCs w:val="18"/>
          <w:lang w:val="fr"/>
        </w:rPr>
        <w:t>Veuillez cocher la case appropriée (si vous achetez plusieurs produits, cochez toutes les cases qui s'appliquent).</w:t>
      </w:r>
    </w:p>
    <w:p w:rsidR="006E6D74" w:rsidRPr="00F45B6A" w:rsidRDefault="006E6D74">
      <w:pPr>
        <w:spacing w:line="240" w:lineRule="auto"/>
        <w:rPr>
          <w:sz w:val="24"/>
          <w:szCs w:val="24"/>
          <w:lang w:val="fr-FR"/>
        </w:rPr>
      </w:pPr>
    </w:p>
    <w:p w:rsidR="006E6D74" w:rsidRDefault="003220F7">
      <w:pPr>
        <w:rPr>
          <w:b/>
          <w:sz w:val="30"/>
          <w:szCs w:val="30"/>
          <w:u w:val="single"/>
        </w:rPr>
      </w:pPr>
      <w:r>
        <w:rPr>
          <w:b/>
          <w:bCs/>
          <w:sz w:val="30"/>
          <w:szCs w:val="30"/>
          <w:u w:val="single"/>
          <w:lang w:val="fr"/>
        </w:rPr>
        <w:t>Hub Marketing</w:t>
      </w:r>
    </w:p>
    <w:tbl>
      <w:tblPr>
        <w:tblStyle w:val="a1"/>
        <w:tblW w:w="937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600"/>
        <w:gridCol w:w="4020"/>
        <w:gridCol w:w="585"/>
        <w:gridCol w:w="3915"/>
        <w:gridCol w:w="255"/>
      </w:tblGrid>
      <w:tr w:rsidR="006E6D74">
        <w:trPr>
          <w:trHeight w:val="600"/>
        </w:trPr>
        <w:tc>
          <w:tcPr>
            <w:tcW w:w="600" w:type="dxa"/>
            <w:shd w:val="clear" w:color="auto" w:fill="FFFFFF"/>
            <w:tcMar>
              <w:top w:w="100" w:type="dxa"/>
              <w:left w:w="100" w:type="dxa"/>
              <w:bottom w:w="100" w:type="dxa"/>
              <w:right w:w="100" w:type="dxa"/>
            </w:tcMar>
          </w:tcPr>
          <w:p w:rsidR="006E6D74" w:rsidRDefault="003220F7">
            <w:pPr>
              <w:widowControl w:val="0"/>
              <w:spacing w:line="240" w:lineRule="auto"/>
              <w:rPr>
                <w:b/>
                <w:sz w:val="34"/>
                <w:szCs w:val="34"/>
                <w:u w:val="single"/>
              </w:rPr>
            </w:pPr>
            <w:r>
              <w:rPr>
                <w:b/>
                <w:bCs/>
                <w:noProof/>
                <w:sz w:val="30"/>
                <w:szCs w:val="30"/>
                <w:lang w:val="fr"/>
              </w:rPr>
              <w:drawing>
                <wp:inline distT="0" distB="0" distL="0" distR="0">
                  <wp:extent cx="247650" cy="22860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47650" cy="228600"/>
                          </a:xfrm>
                          <a:prstGeom prst="rect">
                            <a:avLst/>
                          </a:prstGeom>
                          <a:ln/>
                        </pic:spPr>
                      </pic:pic>
                    </a:graphicData>
                  </a:graphic>
                </wp:inline>
              </w:drawing>
            </w:r>
          </w:p>
        </w:tc>
        <w:tc>
          <w:tcPr>
            <w:tcW w:w="4020" w:type="dxa"/>
            <w:shd w:val="clear" w:color="auto" w:fill="FFFFFF"/>
            <w:tcMar>
              <w:top w:w="100" w:type="dxa"/>
              <w:left w:w="100" w:type="dxa"/>
              <w:bottom w:w="100" w:type="dxa"/>
              <w:right w:w="100" w:type="dxa"/>
            </w:tcMar>
          </w:tcPr>
          <w:p w:rsidR="006E6D74" w:rsidRDefault="003220F7">
            <w:pPr>
              <w:widowControl w:val="0"/>
              <w:spacing w:line="240" w:lineRule="auto"/>
              <w:rPr>
                <w:b/>
                <w:sz w:val="26"/>
                <w:szCs w:val="26"/>
              </w:rPr>
            </w:pPr>
            <w:r>
              <w:rPr>
                <w:b/>
                <w:bCs/>
                <w:sz w:val="26"/>
                <w:szCs w:val="26"/>
                <w:lang w:val="fr"/>
              </w:rPr>
              <w:t>Hub Marketing Pro</w:t>
            </w:r>
          </w:p>
        </w:tc>
        <w:tc>
          <w:tcPr>
            <w:tcW w:w="585" w:type="dxa"/>
            <w:shd w:val="clear" w:color="auto" w:fill="FFFFFF"/>
            <w:tcMar>
              <w:top w:w="100" w:type="dxa"/>
              <w:left w:w="100" w:type="dxa"/>
              <w:bottom w:w="100" w:type="dxa"/>
              <w:right w:w="100" w:type="dxa"/>
            </w:tcMar>
          </w:tcPr>
          <w:p w:rsidR="006E6D74" w:rsidRDefault="003220F7">
            <w:pPr>
              <w:widowControl w:val="0"/>
              <w:spacing w:line="240" w:lineRule="auto"/>
              <w:rPr>
                <w:b/>
                <w:sz w:val="26"/>
                <w:szCs w:val="26"/>
              </w:rPr>
            </w:pPr>
            <w:r>
              <w:rPr>
                <w:b/>
                <w:bCs/>
                <w:noProof/>
                <w:sz w:val="26"/>
                <w:szCs w:val="26"/>
                <w:lang w:val="fr"/>
              </w:rPr>
              <w:drawing>
                <wp:inline distT="0" distB="0" distL="0" distR="0">
                  <wp:extent cx="248418" cy="233363"/>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48418" cy="233363"/>
                          </a:xfrm>
                          <a:prstGeom prst="rect">
                            <a:avLst/>
                          </a:prstGeom>
                          <a:ln/>
                        </pic:spPr>
                      </pic:pic>
                    </a:graphicData>
                  </a:graphic>
                </wp:inline>
              </w:drawing>
            </w:r>
          </w:p>
        </w:tc>
        <w:tc>
          <w:tcPr>
            <w:tcW w:w="3915" w:type="dxa"/>
            <w:shd w:val="clear" w:color="auto" w:fill="FFFFFF"/>
            <w:tcMar>
              <w:top w:w="100" w:type="dxa"/>
              <w:left w:w="100" w:type="dxa"/>
              <w:bottom w:w="100" w:type="dxa"/>
              <w:right w:w="100" w:type="dxa"/>
            </w:tcMar>
          </w:tcPr>
          <w:p w:rsidR="006E6D74" w:rsidRDefault="003220F7">
            <w:pPr>
              <w:widowControl w:val="0"/>
              <w:spacing w:line="240" w:lineRule="auto"/>
              <w:rPr>
                <w:b/>
                <w:sz w:val="26"/>
                <w:szCs w:val="26"/>
              </w:rPr>
            </w:pPr>
            <w:r>
              <w:rPr>
                <w:b/>
                <w:bCs/>
                <w:sz w:val="26"/>
                <w:szCs w:val="26"/>
                <w:lang w:val="fr"/>
              </w:rPr>
              <w:t>Hub Marketing Entreprise</w:t>
            </w:r>
          </w:p>
        </w:tc>
        <w:tc>
          <w:tcPr>
            <w:tcW w:w="255" w:type="dxa"/>
            <w:shd w:val="clear" w:color="auto" w:fill="FFFFFF"/>
            <w:tcMar>
              <w:top w:w="100" w:type="dxa"/>
              <w:left w:w="100" w:type="dxa"/>
              <w:bottom w:w="100" w:type="dxa"/>
              <w:right w:w="100" w:type="dxa"/>
            </w:tcMar>
          </w:tcPr>
          <w:p w:rsidR="006E6D74" w:rsidRDefault="006E6D74">
            <w:pPr>
              <w:widowControl w:val="0"/>
              <w:spacing w:line="240" w:lineRule="auto"/>
              <w:rPr>
                <w:b/>
                <w:sz w:val="30"/>
                <w:szCs w:val="30"/>
              </w:rPr>
            </w:pPr>
          </w:p>
        </w:tc>
      </w:tr>
    </w:tbl>
    <w:p w:rsidR="006E6D74" w:rsidRPr="00F45B6A" w:rsidRDefault="003220F7">
      <w:pPr>
        <w:shd w:val="clear" w:color="auto" w:fill="F3F3F3"/>
        <w:spacing w:before="160" w:line="240" w:lineRule="auto"/>
        <w:rPr>
          <w:sz w:val="20"/>
          <w:szCs w:val="20"/>
          <w:shd w:val="clear" w:color="auto" w:fill="EFEFEF"/>
          <w:lang w:val="fr-FR"/>
        </w:rPr>
      </w:pPr>
      <w:r>
        <w:rPr>
          <w:sz w:val="20"/>
          <w:szCs w:val="20"/>
          <w:shd w:val="clear" w:color="auto" w:fill="EFEFEF"/>
          <w:lang w:val="fr"/>
        </w:rPr>
        <w:t>L'</w:t>
      </w:r>
      <w:r w:rsidR="00F45B6A">
        <w:rPr>
          <w:sz w:val="20"/>
          <w:szCs w:val="20"/>
          <w:shd w:val="clear" w:color="auto" w:fill="EFEFEF"/>
          <w:lang w:val="fr"/>
        </w:rPr>
        <w:t>Accord de services</w:t>
      </w:r>
      <w:r>
        <w:rPr>
          <w:sz w:val="20"/>
          <w:szCs w:val="20"/>
          <w:shd w:val="clear" w:color="auto" w:fill="EFEFEF"/>
          <w:lang w:val="fr"/>
        </w:rPr>
        <w:t xml:space="preserve"> est conclu pour une durée minimale de 3 mois et comprend, sans limitation, les services suivants : </w:t>
      </w:r>
    </w:p>
    <w:p w:rsidR="006E6D74" w:rsidRPr="00F45B6A" w:rsidRDefault="00FF44CD">
      <w:pPr>
        <w:numPr>
          <w:ilvl w:val="0"/>
          <w:numId w:val="1"/>
        </w:numPr>
        <w:shd w:val="clear" w:color="auto" w:fill="F3F3F3"/>
        <w:spacing w:before="160" w:line="240" w:lineRule="auto"/>
        <w:rPr>
          <w:sz w:val="20"/>
          <w:szCs w:val="20"/>
          <w:shd w:val="clear" w:color="auto" w:fill="EFEFEF"/>
          <w:lang w:val="fr-FR"/>
        </w:rPr>
      </w:pPr>
      <w:proofErr w:type="spellStart"/>
      <w:r>
        <w:rPr>
          <w:sz w:val="20"/>
          <w:szCs w:val="20"/>
          <w:shd w:val="clear" w:color="auto" w:fill="EFEFEF"/>
          <w:lang w:val="fr"/>
        </w:rPr>
        <w:t>Onboarding</w:t>
      </w:r>
      <w:proofErr w:type="spellEnd"/>
      <w:r w:rsidR="003220F7">
        <w:rPr>
          <w:sz w:val="20"/>
          <w:szCs w:val="20"/>
          <w:shd w:val="clear" w:color="auto" w:fill="EFEFEF"/>
          <w:lang w:val="fr"/>
        </w:rPr>
        <w:t xml:space="preserve"> </w:t>
      </w:r>
      <w:r>
        <w:rPr>
          <w:sz w:val="20"/>
          <w:szCs w:val="20"/>
          <w:shd w:val="clear" w:color="auto" w:fill="EFEFEF"/>
          <w:lang w:val="fr"/>
        </w:rPr>
        <w:t>pour</w:t>
      </w:r>
      <w:r w:rsidR="003220F7">
        <w:rPr>
          <w:sz w:val="20"/>
          <w:szCs w:val="20"/>
          <w:shd w:val="clear" w:color="auto" w:fill="EFEFEF"/>
          <w:lang w:val="fr"/>
        </w:rPr>
        <w:t xml:space="preserve"> la configuration technique ;</w:t>
      </w:r>
    </w:p>
    <w:p w:rsidR="006E6D74" w:rsidRPr="00F45B6A" w:rsidRDefault="003220F7">
      <w:pPr>
        <w:numPr>
          <w:ilvl w:val="0"/>
          <w:numId w:val="1"/>
        </w:numPr>
        <w:shd w:val="clear" w:color="auto" w:fill="F3F3F3"/>
        <w:spacing w:line="240" w:lineRule="auto"/>
        <w:rPr>
          <w:sz w:val="20"/>
          <w:szCs w:val="20"/>
          <w:shd w:val="clear" w:color="auto" w:fill="EFEFEF"/>
          <w:lang w:val="fr-FR"/>
        </w:rPr>
      </w:pPr>
      <w:r>
        <w:rPr>
          <w:i/>
          <w:iCs/>
          <w:sz w:val="20"/>
          <w:szCs w:val="20"/>
          <w:u w:val="single"/>
          <w:shd w:val="clear" w:color="auto" w:fill="EFEFEF"/>
          <w:lang w:val="fr"/>
        </w:rPr>
        <w:t>Hub Marketing Pro et Entreprise uniquement :</w:t>
      </w:r>
      <w:r>
        <w:rPr>
          <w:sz w:val="20"/>
          <w:szCs w:val="20"/>
          <w:shd w:val="clear" w:color="auto" w:fill="EFEFEF"/>
          <w:lang w:val="fr"/>
        </w:rPr>
        <w:t xml:space="preserve"> aide au lancement de la première campagne inbound marketing dans HubSpot (</w:t>
      </w:r>
      <w:proofErr w:type="spellStart"/>
      <w:r w:rsidR="00FF44CD">
        <w:rPr>
          <w:sz w:val="20"/>
          <w:szCs w:val="20"/>
          <w:shd w:val="clear" w:color="auto" w:fill="EFEFEF"/>
          <w:lang w:val="fr"/>
        </w:rPr>
        <w:t>onboarding</w:t>
      </w:r>
      <w:proofErr w:type="spellEnd"/>
      <w:r>
        <w:rPr>
          <w:sz w:val="20"/>
          <w:szCs w:val="20"/>
          <w:shd w:val="clear" w:color="auto" w:fill="EFEFEF"/>
          <w:lang w:val="fr"/>
        </w:rPr>
        <w:t xml:space="preserve"> ou formation complète du Client pour lancer avec succès une campagne, par exemple, page de destination, page de remerciement, CTA, création d'un blog, automatisation, etc.) ; et</w:t>
      </w:r>
    </w:p>
    <w:p w:rsidR="006E6D74" w:rsidRPr="00F45B6A" w:rsidRDefault="003220F7">
      <w:pPr>
        <w:numPr>
          <w:ilvl w:val="0"/>
          <w:numId w:val="1"/>
        </w:numPr>
        <w:shd w:val="clear" w:color="auto" w:fill="F3F3F3"/>
        <w:spacing w:line="240" w:lineRule="auto"/>
        <w:rPr>
          <w:sz w:val="20"/>
          <w:szCs w:val="20"/>
          <w:shd w:val="clear" w:color="auto" w:fill="EFEFEF"/>
          <w:lang w:val="fr-FR"/>
        </w:rPr>
      </w:pPr>
      <w:r>
        <w:rPr>
          <w:i/>
          <w:iCs/>
          <w:sz w:val="20"/>
          <w:szCs w:val="20"/>
          <w:u w:val="single"/>
          <w:shd w:val="clear" w:color="auto" w:fill="EFEFEF"/>
          <w:lang w:val="fr"/>
        </w:rPr>
        <w:t>Hub Marketing Entreprise uniquement :</w:t>
      </w:r>
      <w:r>
        <w:rPr>
          <w:sz w:val="20"/>
          <w:szCs w:val="20"/>
          <w:shd w:val="clear" w:color="auto" w:fill="EFEFEF"/>
          <w:lang w:val="fr"/>
        </w:rPr>
        <w:t xml:space="preserve"> aide à la configuration de rapports avancés, de contenus multilingues, d'événements personnalisés, d'une authentification unique, d'équipes et d'un système de score prévisionnel des leads ; et</w:t>
      </w:r>
    </w:p>
    <w:p w:rsidR="006E6D74" w:rsidRPr="00F45B6A" w:rsidRDefault="003220F7">
      <w:pPr>
        <w:numPr>
          <w:ilvl w:val="0"/>
          <w:numId w:val="1"/>
        </w:numPr>
        <w:shd w:val="clear" w:color="auto" w:fill="F3F3F3"/>
        <w:spacing w:line="240" w:lineRule="auto"/>
        <w:rPr>
          <w:sz w:val="20"/>
          <w:szCs w:val="20"/>
          <w:shd w:val="clear" w:color="auto" w:fill="EFEFEF"/>
          <w:lang w:val="fr-FR"/>
        </w:rPr>
      </w:pPr>
      <w:r>
        <w:rPr>
          <w:sz w:val="20"/>
          <w:szCs w:val="20"/>
          <w:shd w:val="clear" w:color="auto" w:fill="EFEFEF"/>
          <w:lang w:val="fr"/>
        </w:rPr>
        <w:t>Point de contact désigné par le Partenaire pour le Client pendant toute la durée de l'</w:t>
      </w:r>
      <w:r w:rsidR="00F45B6A">
        <w:rPr>
          <w:sz w:val="20"/>
          <w:szCs w:val="20"/>
          <w:shd w:val="clear" w:color="auto" w:fill="EFEFEF"/>
          <w:lang w:val="fr"/>
        </w:rPr>
        <w:t>Accord de services</w:t>
      </w:r>
      <w:r>
        <w:rPr>
          <w:sz w:val="20"/>
          <w:szCs w:val="20"/>
          <w:shd w:val="clear" w:color="auto" w:fill="EFEFEF"/>
          <w:lang w:val="fr"/>
        </w:rPr>
        <w:t>, qui gérera la relation partenaire-client, par exemple un responsable de projet, un consultant inbound ou un gestionnaire de compte.</w:t>
      </w:r>
    </w:p>
    <w:p w:rsidR="006E6D74" w:rsidRPr="00F45B6A" w:rsidRDefault="006E6D74">
      <w:pPr>
        <w:spacing w:line="240" w:lineRule="auto"/>
        <w:rPr>
          <w:b/>
          <w:sz w:val="30"/>
          <w:szCs w:val="30"/>
          <w:u w:val="single"/>
          <w:lang w:val="fr-FR"/>
        </w:rPr>
      </w:pPr>
    </w:p>
    <w:p w:rsidR="006E6D74" w:rsidRDefault="003220F7">
      <w:pPr>
        <w:rPr>
          <w:b/>
          <w:sz w:val="30"/>
          <w:szCs w:val="30"/>
          <w:u w:val="single"/>
        </w:rPr>
      </w:pPr>
      <w:r>
        <w:rPr>
          <w:b/>
          <w:bCs/>
          <w:sz w:val="30"/>
          <w:szCs w:val="30"/>
          <w:u w:val="single"/>
          <w:lang w:val="fr"/>
        </w:rPr>
        <w:t>Hub Sales</w:t>
      </w:r>
    </w:p>
    <w:tbl>
      <w:tblPr>
        <w:tblStyle w:val="a2"/>
        <w:tblW w:w="937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618"/>
        <w:gridCol w:w="4132"/>
        <w:gridCol w:w="601"/>
        <w:gridCol w:w="4024"/>
      </w:tblGrid>
      <w:tr w:rsidR="006E6D74">
        <w:trPr>
          <w:trHeight w:val="500"/>
        </w:trPr>
        <w:tc>
          <w:tcPr>
            <w:tcW w:w="600" w:type="dxa"/>
            <w:shd w:val="clear" w:color="auto" w:fill="FFFFFF"/>
            <w:tcMar>
              <w:top w:w="100" w:type="dxa"/>
              <w:left w:w="100" w:type="dxa"/>
              <w:bottom w:w="100" w:type="dxa"/>
              <w:right w:w="100" w:type="dxa"/>
            </w:tcMar>
          </w:tcPr>
          <w:p w:rsidR="006E6D74" w:rsidRDefault="003220F7">
            <w:pPr>
              <w:widowControl w:val="0"/>
              <w:spacing w:line="240" w:lineRule="auto"/>
              <w:rPr>
                <w:b/>
                <w:sz w:val="34"/>
                <w:szCs w:val="34"/>
                <w:u w:val="single"/>
              </w:rPr>
            </w:pPr>
            <w:r>
              <w:rPr>
                <w:b/>
                <w:bCs/>
                <w:noProof/>
                <w:sz w:val="30"/>
                <w:szCs w:val="30"/>
                <w:lang w:val="fr"/>
              </w:rPr>
              <w:drawing>
                <wp:inline distT="0" distB="0" distL="0" distR="0">
                  <wp:extent cx="247650" cy="223838"/>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47650" cy="223838"/>
                          </a:xfrm>
                          <a:prstGeom prst="rect">
                            <a:avLst/>
                          </a:prstGeom>
                          <a:ln/>
                        </pic:spPr>
                      </pic:pic>
                    </a:graphicData>
                  </a:graphic>
                </wp:inline>
              </w:drawing>
            </w:r>
          </w:p>
        </w:tc>
        <w:tc>
          <w:tcPr>
            <w:tcW w:w="4020" w:type="dxa"/>
            <w:shd w:val="clear" w:color="auto" w:fill="FFFFFF"/>
            <w:tcMar>
              <w:top w:w="100" w:type="dxa"/>
              <w:left w:w="100" w:type="dxa"/>
              <w:bottom w:w="100" w:type="dxa"/>
              <w:right w:w="100" w:type="dxa"/>
            </w:tcMar>
          </w:tcPr>
          <w:p w:rsidR="006E6D74" w:rsidRDefault="003220F7">
            <w:pPr>
              <w:widowControl w:val="0"/>
              <w:spacing w:line="240" w:lineRule="auto"/>
              <w:rPr>
                <w:b/>
                <w:sz w:val="26"/>
                <w:szCs w:val="26"/>
              </w:rPr>
            </w:pPr>
            <w:r>
              <w:rPr>
                <w:b/>
                <w:bCs/>
                <w:sz w:val="26"/>
                <w:szCs w:val="26"/>
                <w:lang w:val="fr"/>
              </w:rPr>
              <w:t>Hub Sales Pro</w:t>
            </w:r>
          </w:p>
        </w:tc>
        <w:tc>
          <w:tcPr>
            <w:tcW w:w="585" w:type="dxa"/>
            <w:shd w:val="clear" w:color="auto" w:fill="FFFFFF"/>
            <w:tcMar>
              <w:top w:w="100" w:type="dxa"/>
              <w:left w:w="100" w:type="dxa"/>
              <w:bottom w:w="100" w:type="dxa"/>
              <w:right w:w="100" w:type="dxa"/>
            </w:tcMar>
          </w:tcPr>
          <w:p w:rsidR="006E6D74" w:rsidRDefault="003220F7">
            <w:pPr>
              <w:widowControl w:val="0"/>
              <w:spacing w:line="240" w:lineRule="auto"/>
              <w:rPr>
                <w:b/>
                <w:sz w:val="26"/>
                <w:szCs w:val="26"/>
              </w:rPr>
            </w:pPr>
            <w:r>
              <w:rPr>
                <w:b/>
                <w:bCs/>
                <w:noProof/>
                <w:sz w:val="26"/>
                <w:szCs w:val="26"/>
                <w:lang w:val="fr"/>
              </w:rPr>
              <w:drawing>
                <wp:inline distT="0" distB="0" distL="0" distR="0">
                  <wp:extent cx="248418" cy="23336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48418" cy="233363"/>
                          </a:xfrm>
                          <a:prstGeom prst="rect">
                            <a:avLst/>
                          </a:prstGeom>
                          <a:ln/>
                        </pic:spPr>
                      </pic:pic>
                    </a:graphicData>
                  </a:graphic>
                </wp:inline>
              </w:drawing>
            </w:r>
          </w:p>
        </w:tc>
        <w:tc>
          <w:tcPr>
            <w:tcW w:w="3915" w:type="dxa"/>
            <w:shd w:val="clear" w:color="auto" w:fill="FFFFFF"/>
            <w:tcMar>
              <w:top w:w="100" w:type="dxa"/>
              <w:left w:w="100" w:type="dxa"/>
              <w:bottom w:w="100" w:type="dxa"/>
              <w:right w:w="100" w:type="dxa"/>
            </w:tcMar>
          </w:tcPr>
          <w:p w:rsidR="006E6D74" w:rsidRDefault="003220F7">
            <w:pPr>
              <w:widowControl w:val="0"/>
              <w:spacing w:line="240" w:lineRule="auto"/>
              <w:rPr>
                <w:b/>
                <w:sz w:val="26"/>
                <w:szCs w:val="26"/>
              </w:rPr>
            </w:pPr>
            <w:r>
              <w:rPr>
                <w:b/>
                <w:bCs/>
                <w:sz w:val="26"/>
                <w:szCs w:val="26"/>
                <w:lang w:val="fr"/>
              </w:rPr>
              <w:t>Hub Sales Entreprise*</w:t>
            </w:r>
          </w:p>
        </w:tc>
      </w:tr>
    </w:tbl>
    <w:p w:rsidR="006E6D74" w:rsidRPr="00F45B6A" w:rsidRDefault="003220F7">
      <w:pPr>
        <w:shd w:val="clear" w:color="auto" w:fill="F3F3F3"/>
        <w:spacing w:before="160" w:line="240" w:lineRule="auto"/>
        <w:rPr>
          <w:sz w:val="20"/>
          <w:szCs w:val="20"/>
          <w:shd w:val="clear" w:color="auto" w:fill="EFEFEF"/>
          <w:lang w:val="fr-FR"/>
        </w:rPr>
      </w:pPr>
      <w:r>
        <w:rPr>
          <w:sz w:val="20"/>
          <w:szCs w:val="20"/>
          <w:shd w:val="clear" w:color="auto" w:fill="EFEFEF"/>
          <w:lang w:val="fr"/>
        </w:rPr>
        <w:t>L'</w:t>
      </w:r>
      <w:r w:rsidR="00F45B6A">
        <w:rPr>
          <w:sz w:val="20"/>
          <w:szCs w:val="20"/>
          <w:shd w:val="clear" w:color="auto" w:fill="EFEFEF"/>
          <w:lang w:val="fr"/>
        </w:rPr>
        <w:t>Accord de services</w:t>
      </w:r>
      <w:r>
        <w:rPr>
          <w:sz w:val="20"/>
          <w:szCs w:val="20"/>
          <w:shd w:val="clear" w:color="auto" w:fill="EFEFEF"/>
          <w:lang w:val="fr"/>
        </w:rPr>
        <w:t xml:space="preserve"> est conclu pour une durée minimale de 1 mois (3 mois pour le Hub Sales Entreprise) et comprend, sans limitation, les services suivants : </w:t>
      </w:r>
    </w:p>
    <w:p w:rsidR="006E6D74" w:rsidRPr="00F45B6A" w:rsidRDefault="00FF44CD">
      <w:pPr>
        <w:numPr>
          <w:ilvl w:val="0"/>
          <w:numId w:val="3"/>
        </w:numPr>
        <w:shd w:val="clear" w:color="auto" w:fill="F3F3F3"/>
        <w:spacing w:before="160" w:line="240" w:lineRule="auto"/>
        <w:rPr>
          <w:sz w:val="20"/>
          <w:szCs w:val="20"/>
          <w:lang w:val="fr-FR"/>
        </w:rPr>
      </w:pPr>
      <w:proofErr w:type="spellStart"/>
      <w:r>
        <w:rPr>
          <w:sz w:val="20"/>
          <w:szCs w:val="20"/>
          <w:lang w:val="fr"/>
        </w:rPr>
        <w:t>Onboarding</w:t>
      </w:r>
      <w:proofErr w:type="spellEnd"/>
      <w:r>
        <w:rPr>
          <w:sz w:val="20"/>
          <w:szCs w:val="20"/>
          <w:lang w:val="fr"/>
        </w:rPr>
        <w:t xml:space="preserve"> pour</w:t>
      </w:r>
      <w:r w:rsidR="003220F7">
        <w:rPr>
          <w:sz w:val="20"/>
          <w:szCs w:val="20"/>
          <w:lang w:val="fr"/>
        </w:rPr>
        <w:t xml:space="preserve"> la configuration technique ;</w:t>
      </w:r>
    </w:p>
    <w:p w:rsidR="006E6D74" w:rsidRPr="00F45B6A" w:rsidRDefault="00FF44CD">
      <w:pPr>
        <w:numPr>
          <w:ilvl w:val="0"/>
          <w:numId w:val="3"/>
        </w:numPr>
        <w:shd w:val="clear" w:color="auto" w:fill="F3F3F3"/>
        <w:spacing w:line="240" w:lineRule="auto"/>
        <w:rPr>
          <w:sz w:val="20"/>
          <w:szCs w:val="20"/>
          <w:lang w:val="fr-FR"/>
        </w:rPr>
      </w:pPr>
      <w:proofErr w:type="spellStart"/>
      <w:r>
        <w:rPr>
          <w:sz w:val="20"/>
          <w:szCs w:val="20"/>
          <w:lang w:val="fr"/>
        </w:rPr>
        <w:t>Onboarding</w:t>
      </w:r>
      <w:proofErr w:type="spellEnd"/>
      <w:r w:rsidR="003220F7">
        <w:rPr>
          <w:sz w:val="20"/>
          <w:szCs w:val="20"/>
          <w:lang w:val="fr"/>
        </w:rPr>
        <w:t xml:space="preserve"> ou formation du client sur toutes les fonctionnalités utilisateurs (suivi des e-mails, blocs de texte prédéfinis, modèles, séquences, etc.) ;</w:t>
      </w:r>
    </w:p>
    <w:p w:rsidR="006E6D74" w:rsidRPr="00F45B6A" w:rsidRDefault="003220F7">
      <w:pPr>
        <w:numPr>
          <w:ilvl w:val="0"/>
          <w:numId w:val="3"/>
        </w:numPr>
        <w:shd w:val="clear" w:color="auto" w:fill="F3F3F3"/>
        <w:spacing w:line="240" w:lineRule="auto"/>
        <w:rPr>
          <w:sz w:val="20"/>
          <w:szCs w:val="20"/>
          <w:lang w:val="fr-FR"/>
        </w:rPr>
      </w:pPr>
      <w:r>
        <w:rPr>
          <w:i/>
          <w:iCs/>
          <w:sz w:val="20"/>
          <w:szCs w:val="20"/>
          <w:u w:val="single"/>
          <w:lang w:val="fr"/>
        </w:rPr>
        <w:t>Hub Sales Pro uniquement :</w:t>
      </w:r>
      <w:r>
        <w:rPr>
          <w:sz w:val="20"/>
          <w:szCs w:val="20"/>
          <w:lang w:val="fr"/>
        </w:rPr>
        <w:t xml:space="preserve"> </w:t>
      </w:r>
      <w:proofErr w:type="spellStart"/>
      <w:r w:rsidR="00FF44CD">
        <w:rPr>
          <w:sz w:val="20"/>
          <w:szCs w:val="20"/>
          <w:lang w:val="fr"/>
        </w:rPr>
        <w:t>onboarding</w:t>
      </w:r>
      <w:proofErr w:type="spellEnd"/>
      <w:r>
        <w:rPr>
          <w:sz w:val="20"/>
          <w:szCs w:val="20"/>
          <w:lang w:val="fr"/>
        </w:rPr>
        <w:t xml:space="preserve"> ou formation sur les fonctionnalités disponibles au niveau du compte (par exemple, devis, pipelines, automatisation, produits, devises, etc.) ; </w:t>
      </w:r>
    </w:p>
    <w:p w:rsidR="006E6D74" w:rsidRPr="00F45B6A" w:rsidRDefault="003220F7">
      <w:pPr>
        <w:numPr>
          <w:ilvl w:val="0"/>
          <w:numId w:val="3"/>
        </w:numPr>
        <w:shd w:val="clear" w:color="auto" w:fill="F3F3F3"/>
        <w:spacing w:line="240" w:lineRule="auto"/>
        <w:rPr>
          <w:sz w:val="20"/>
          <w:szCs w:val="20"/>
          <w:lang w:val="fr-FR"/>
        </w:rPr>
      </w:pPr>
      <w:r>
        <w:rPr>
          <w:i/>
          <w:iCs/>
          <w:sz w:val="20"/>
          <w:szCs w:val="20"/>
          <w:u w:val="single"/>
          <w:lang w:val="fr"/>
        </w:rPr>
        <w:t>Hub Sales Entreprise uniquement :</w:t>
      </w:r>
      <w:r>
        <w:rPr>
          <w:sz w:val="20"/>
          <w:szCs w:val="20"/>
          <w:lang w:val="fr"/>
        </w:rPr>
        <w:t xml:space="preserve"> aide à la configuration du compte HubSpot, y compris des fonctionnalités du Hub Sales Entreprise : gestion du pipeline, gestion des transactions, gestion des approbations et signature électronique ;</w:t>
      </w:r>
    </w:p>
    <w:p w:rsidR="006E6D74" w:rsidRPr="00F45B6A" w:rsidRDefault="003220F7">
      <w:pPr>
        <w:numPr>
          <w:ilvl w:val="0"/>
          <w:numId w:val="3"/>
        </w:numPr>
        <w:shd w:val="clear" w:color="auto" w:fill="F3F3F3"/>
        <w:spacing w:line="240" w:lineRule="auto"/>
        <w:rPr>
          <w:sz w:val="20"/>
          <w:szCs w:val="20"/>
          <w:lang w:val="fr-FR"/>
        </w:rPr>
      </w:pPr>
      <w:r>
        <w:rPr>
          <w:i/>
          <w:iCs/>
          <w:sz w:val="20"/>
          <w:szCs w:val="20"/>
          <w:u w:val="single"/>
          <w:lang w:val="fr"/>
        </w:rPr>
        <w:t>Hub Sales Entreprise uniquement :</w:t>
      </w:r>
      <w:r>
        <w:rPr>
          <w:sz w:val="20"/>
          <w:szCs w:val="20"/>
          <w:lang w:val="fr"/>
        </w:rPr>
        <w:t xml:space="preserve"> aide à la configuration des fonctionnalités du Hub Sales Entreprise, y compris : authentification unique, équipes et système de score prévisionnel des leads ; et</w:t>
      </w:r>
    </w:p>
    <w:p w:rsidR="006E6D74" w:rsidRPr="00F45B6A" w:rsidRDefault="003220F7">
      <w:pPr>
        <w:numPr>
          <w:ilvl w:val="0"/>
          <w:numId w:val="3"/>
        </w:numPr>
        <w:shd w:val="clear" w:color="auto" w:fill="F3F3F3"/>
        <w:spacing w:line="240" w:lineRule="auto"/>
        <w:rPr>
          <w:sz w:val="20"/>
          <w:szCs w:val="20"/>
          <w:lang w:val="fr-FR"/>
        </w:rPr>
      </w:pPr>
      <w:r>
        <w:rPr>
          <w:i/>
          <w:iCs/>
          <w:sz w:val="20"/>
          <w:szCs w:val="20"/>
          <w:u w:val="single"/>
          <w:lang w:val="fr"/>
        </w:rPr>
        <w:t>Hub Sales Entreprise uniquement :</w:t>
      </w:r>
      <w:r>
        <w:rPr>
          <w:sz w:val="20"/>
          <w:szCs w:val="20"/>
          <w:lang w:val="fr"/>
        </w:rPr>
        <w:t xml:space="preserve"> conseils stratégiques sur l'organisation des contacts et des entreprises, la structure du </w:t>
      </w:r>
      <w:proofErr w:type="spellStart"/>
      <w:r>
        <w:rPr>
          <w:sz w:val="20"/>
          <w:szCs w:val="20"/>
          <w:lang w:val="fr"/>
        </w:rPr>
        <w:t>reporting</w:t>
      </w:r>
      <w:proofErr w:type="spellEnd"/>
      <w:r>
        <w:rPr>
          <w:sz w:val="20"/>
          <w:szCs w:val="20"/>
          <w:lang w:val="fr"/>
        </w:rPr>
        <w:t xml:space="preserve"> et la gestion des transactions ; et</w:t>
      </w:r>
    </w:p>
    <w:p w:rsidR="006E6D74" w:rsidRPr="00F45B6A" w:rsidRDefault="003220F7">
      <w:pPr>
        <w:numPr>
          <w:ilvl w:val="0"/>
          <w:numId w:val="3"/>
        </w:numPr>
        <w:shd w:val="clear" w:color="auto" w:fill="F3F3F3"/>
        <w:spacing w:line="240" w:lineRule="auto"/>
        <w:rPr>
          <w:sz w:val="20"/>
          <w:szCs w:val="20"/>
          <w:lang w:val="fr-FR"/>
        </w:rPr>
      </w:pPr>
      <w:r>
        <w:rPr>
          <w:sz w:val="20"/>
          <w:szCs w:val="20"/>
          <w:lang w:val="fr"/>
        </w:rPr>
        <w:lastRenderedPageBreak/>
        <w:t>Point de contact désigné par le Partenaire pour le Client pendant toute la durée de l'</w:t>
      </w:r>
      <w:r w:rsidR="00F45B6A">
        <w:rPr>
          <w:sz w:val="20"/>
          <w:szCs w:val="20"/>
          <w:lang w:val="fr"/>
        </w:rPr>
        <w:t>Accord de services</w:t>
      </w:r>
      <w:r>
        <w:rPr>
          <w:sz w:val="20"/>
          <w:szCs w:val="20"/>
          <w:lang w:val="fr"/>
        </w:rPr>
        <w:t xml:space="preserve">, qui gérera la relation partenaire-client, par exemple un responsable de projet, un consultant inbound ou un gestionnaire de compte. </w:t>
      </w:r>
    </w:p>
    <w:p w:rsidR="006E6D74" w:rsidRPr="00F45B6A" w:rsidRDefault="003220F7">
      <w:pPr>
        <w:shd w:val="clear" w:color="auto" w:fill="F3F3F3"/>
        <w:spacing w:before="160" w:line="240" w:lineRule="auto"/>
        <w:rPr>
          <w:i/>
          <w:color w:val="434343"/>
          <w:sz w:val="14"/>
          <w:szCs w:val="14"/>
          <w:lang w:val="fr-FR"/>
        </w:rPr>
      </w:pPr>
      <w:r>
        <w:rPr>
          <w:i/>
          <w:iCs/>
          <w:color w:val="434343"/>
          <w:sz w:val="14"/>
          <w:szCs w:val="14"/>
          <w:lang w:val="fr"/>
        </w:rPr>
        <w:t xml:space="preserve">* Seuls les partenaires HubSpot ayant obtenu la certification pour le logiciel Hub Sales Entreprise peuvent proposer des services liés au Hub Sales Entreprise sans que le service </w:t>
      </w:r>
      <w:r w:rsidR="00FF44CD">
        <w:rPr>
          <w:i/>
          <w:iCs/>
          <w:color w:val="434343"/>
          <w:sz w:val="14"/>
          <w:szCs w:val="14"/>
          <w:lang w:val="fr"/>
        </w:rPr>
        <w:t>d'</w:t>
      </w:r>
      <w:proofErr w:type="spellStart"/>
      <w:r w:rsidR="00FF44CD">
        <w:rPr>
          <w:i/>
          <w:iCs/>
          <w:color w:val="434343"/>
          <w:sz w:val="14"/>
          <w:szCs w:val="14"/>
          <w:lang w:val="fr"/>
        </w:rPr>
        <w:t>onboarding</w:t>
      </w:r>
      <w:proofErr w:type="spellEnd"/>
      <w:r>
        <w:rPr>
          <w:i/>
          <w:iCs/>
          <w:color w:val="434343"/>
          <w:sz w:val="14"/>
          <w:szCs w:val="14"/>
          <w:lang w:val="fr"/>
        </w:rPr>
        <w:t xml:space="preserve"> direct de HubSpot soit requis.</w:t>
      </w:r>
    </w:p>
    <w:p w:rsidR="006E6D74" w:rsidRPr="00F45B6A" w:rsidRDefault="006E6D74">
      <w:pPr>
        <w:spacing w:line="240" w:lineRule="auto"/>
        <w:rPr>
          <w:i/>
          <w:color w:val="434343"/>
          <w:sz w:val="14"/>
          <w:szCs w:val="14"/>
          <w:lang w:val="fr-FR"/>
        </w:rPr>
      </w:pPr>
    </w:p>
    <w:p w:rsidR="006E6D74" w:rsidRPr="00F45B6A" w:rsidRDefault="006E6D74">
      <w:pPr>
        <w:spacing w:line="240" w:lineRule="auto"/>
        <w:rPr>
          <w:b/>
          <w:sz w:val="34"/>
          <w:szCs w:val="34"/>
          <w:u w:val="single"/>
          <w:lang w:val="fr-FR"/>
        </w:rPr>
      </w:pPr>
    </w:p>
    <w:p w:rsidR="006E6D74" w:rsidRDefault="003220F7">
      <w:pPr>
        <w:rPr>
          <w:b/>
          <w:sz w:val="30"/>
          <w:szCs w:val="30"/>
          <w:u w:val="single"/>
        </w:rPr>
      </w:pPr>
      <w:r>
        <w:rPr>
          <w:b/>
          <w:bCs/>
          <w:sz w:val="30"/>
          <w:szCs w:val="30"/>
          <w:u w:val="single"/>
          <w:lang w:val="fr"/>
        </w:rPr>
        <w:t>Hub Services</w:t>
      </w:r>
    </w:p>
    <w:tbl>
      <w:tblPr>
        <w:tblStyle w:val="a3"/>
        <w:tblW w:w="937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618"/>
        <w:gridCol w:w="4132"/>
        <w:gridCol w:w="601"/>
        <w:gridCol w:w="4024"/>
      </w:tblGrid>
      <w:tr w:rsidR="006E6D74">
        <w:trPr>
          <w:trHeight w:val="500"/>
        </w:trPr>
        <w:tc>
          <w:tcPr>
            <w:tcW w:w="600" w:type="dxa"/>
            <w:shd w:val="clear" w:color="auto" w:fill="FFFFFF"/>
            <w:tcMar>
              <w:top w:w="100" w:type="dxa"/>
              <w:left w:w="100" w:type="dxa"/>
              <w:bottom w:w="100" w:type="dxa"/>
              <w:right w:w="100" w:type="dxa"/>
            </w:tcMar>
          </w:tcPr>
          <w:p w:rsidR="006E6D74" w:rsidRDefault="003220F7">
            <w:pPr>
              <w:widowControl w:val="0"/>
              <w:spacing w:line="240" w:lineRule="auto"/>
              <w:rPr>
                <w:b/>
                <w:sz w:val="34"/>
                <w:szCs w:val="34"/>
                <w:u w:val="single"/>
              </w:rPr>
            </w:pPr>
            <w:r>
              <w:rPr>
                <w:b/>
                <w:bCs/>
                <w:noProof/>
                <w:sz w:val="30"/>
                <w:szCs w:val="30"/>
                <w:lang w:val="fr"/>
              </w:rPr>
              <w:drawing>
                <wp:inline distT="0" distB="0" distL="0" distR="0">
                  <wp:extent cx="247650" cy="223838"/>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47650" cy="223838"/>
                          </a:xfrm>
                          <a:prstGeom prst="rect">
                            <a:avLst/>
                          </a:prstGeom>
                          <a:ln/>
                        </pic:spPr>
                      </pic:pic>
                    </a:graphicData>
                  </a:graphic>
                </wp:inline>
              </w:drawing>
            </w:r>
          </w:p>
        </w:tc>
        <w:tc>
          <w:tcPr>
            <w:tcW w:w="4020" w:type="dxa"/>
            <w:shd w:val="clear" w:color="auto" w:fill="FFFFFF"/>
            <w:tcMar>
              <w:top w:w="100" w:type="dxa"/>
              <w:left w:w="100" w:type="dxa"/>
              <w:bottom w:w="100" w:type="dxa"/>
              <w:right w:w="100" w:type="dxa"/>
            </w:tcMar>
          </w:tcPr>
          <w:p w:rsidR="006E6D74" w:rsidRDefault="003220F7">
            <w:pPr>
              <w:widowControl w:val="0"/>
              <w:spacing w:line="240" w:lineRule="auto"/>
              <w:rPr>
                <w:b/>
                <w:sz w:val="26"/>
                <w:szCs w:val="26"/>
              </w:rPr>
            </w:pPr>
            <w:r>
              <w:rPr>
                <w:b/>
                <w:bCs/>
                <w:sz w:val="26"/>
                <w:szCs w:val="26"/>
                <w:lang w:val="fr"/>
              </w:rPr>
              <w:t>Hub Services Pro</w:t>
            </w:r>
          </w:p>
        </w:tc>
        <w:tc>
          <w:tcPr>
            <w:tcW w:w="585" w:type="dxa"/>
            <w:shd w:val="clear" w:color="auto" w:fill="FFFFFF"/>
            <w:tcMar>
              <w:top w:w="100" w:type="dxa"/>
              <w:left w:w="100" w:type="dxa"/>
              <w:bottom w:w="100" w:type="dxa"/>
              <w:right w:w="100" w:type="dxa"/>
            </w:tcMar>
          </w:tcPr>
          <w:p w:rsidR="006E6D74" w:rsidRDefault="003220F7">
            <w:pPr>
              <w:widowControl w:val="0"/>
              <w:spacing w:line="240" w:lineRule="auto"/>
              <w:rPr>
                <w:b/>
                <w:sz w:val="26"/>
                <w:szCs w:val="26"/>
              </w:rPr>
            </w:pPr>
            <w:r>
              <w:rPr>
                <w:b/>
                <w:bCs/>
                <w:noProof/>
                <w:sz w:val="26"/>
                <w:szCs w:val="26"/>
                <w:lang w:val="fr"/>
              </w:rPr>
              <w:drawing>
                <wp:inline distT="0" distB="0" distL="0" distR="0">
                  <wp:extent cx="248418" cy="233363"/>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48418" cy="233363"/>
                          </a:xfrm>
                          <a:prstGeom prst="rect">
                            <a:avLst/>
                          </a:prstGeom>
                          <a:ln/>
                        </pic:spPr>
                      </pic:pic>
                    </a:graphicData>
                  </a:graphic>
                </wp:inline>
              </w:drawing>
            </w:r>
          </w:p>
        </w:tc>
        <w:tc>
          <w:tcPr>
            <w:tcW w:w="3915" w:type="dxa"/>
            <w:shd w:val="clear" w:color="auto" w:fill="FFFFFF"/>
            <w:tcMar>
              <w:top w:w="100" w:type="dxa"/>
              <w:left w:w="100" w:type="dxa"/>
              <w:bottom w:w="100" w:type="dxa"/>
              <w:right w:w="100" w:type="dxa"/>
            </w:tcMar>
          </w:tcPr>
          <w:p w:rsidR="006E6D74" w:rsidRDefault="003220F7">
            <w:pPr>
              <w:widowControl w:val="0"/>
              <w:spacing w:line="240" w:lineRule="auto"/>
              <w:rPr>
                <w:b/>
                <w:sz w:val="26"/>
                <w:szCs w:val="26"/>
              </w:rPr>
            </w:pPr>
            <w:r>
              <w:rPr>
                <w:b/>
                <w:bCs/>
                <w:sz w:val="26"/>
                <w:szCs w:val="26"/>
                <w:lang w:val="fr"/>
              </w:rPr>
              <w:t>Hub Services Entreprise</w:t>
            </w:r>
          </w:p>
        </w:tc>
      </w:tr>
    </w:tbl>
    <w:p w:rsidR="006E6D74" w:rsidRPr="00F45B6A" w:rsidRDefault="003220F7">
      <w:pPr>
        <w:shd w:val="clear" w:color="auto" w:fill="F3F3F3"/>
        <w:spacing w:before="160" w:line="240" w:lineRule="auto"/>
        <w:rPr>
          <w:sz w:val="20"/>
          <w:szCs w:val="20"/>
          <w:lang w:val="fr-FR"/>
        </w:rPr>
      </w:pPr>
      <w:r>
        <w:rPr>
          <w:sz w:val="20"/>
          <w:szCs w:val="20"/>
          <w:lang w:val="fr"/>
        </w:rPr>
        <w:t>L'</w:t>
      </w:r>
      <w:r w:rsidR="00F45B6A">
        <w:rPr>
          <w:sz w:val="20"/>
          <w:szCs w:val="20"/>
          <w:lang w:val="fr"/>
        </w:rPr>
        <w:t>Accord de services</w:t>
      </w:r>
      <w:r>
        <w:rPr>
          <w:sz w:val="20"/>
          <w:szCs w:val="20"/>
          <w:lang w:val="fr"/>
        </w:rPr>
        <w:t xml:space="preserve"> est conclu pour une durée minimale de 1 mois (3 mois pour le Hub Services Entreprise) et comprend, sans limitation, les services suivants : </w:t>
      </w:r>
    </w:p>
    <w:p w:rsidR="006E6D74" w:rsidRPr="00F45B6A" w:rsidRDefault="00FF44CD">
      <w:pPr>
        <w:numPr>
          <w:ilvl w:val="0"/>
          <w:numId w:val="2"/>
        </w:numPr>
        <w:shd w:val="clear" w:color="auto" w:fill="F3F3F3"/>
        <w:spacing w:before="160" w:line="240" w:lineRule="auto"/>
        <w:rPr>
          <w:sz w:val="20"/>
          <w:szCs w:val="20"/>
          <w:lang w:val="fr-FR"/>
        </w:rPr>
      </w:pPr>
      <w:proofErr w:type="spellStart"/>
      <w:r>
        <w:rPr>
          <w:rFonts w:ascii="Roboto" w:eastAsia="Roboto" w:hAnsi="Roboto" w:cs="Roboto"/>
          <w:sz w:val="20"/>
          <w:szCs w:val="20"/>
          <w:lang w:val="fr"/>
        </w:rPr>
        <w:t>Onboarding</w:t>
      </w:r>
      <w:proofErr w:type="spellEnd"/>
      <w:r>
        <w:rPr>
          <w:rFonts w:ascii="Roboto" w:eastAsia="Roboto" w:hAnsi="Roboto" w:cs="Roboto"/>
          <w:sz w:val="20"/>
          <w:szCs w:val="20"/>
          <w:lang w:val="fr"/>
        </w:rPr>
        <w:t xml:space="preserve"> pour</w:t>
      </w:r>
      <w:r w:rsidR="003220F7">
        <w:rPr>
          <w:rFonts w:ascii="Roboto" w:eastAsia="Roboto" w:hAnsi="Roboto" w:cs="Roboto"/>
          <w:sz w:val="20"/>
          <w:szCs w:val="20"/>
          <w:lang w:val="fr"/>
        </w:rPr>
        <w:t xml:space="preserve"> la configuration technique ; </w:t>
      </w:r>
    </w:p>
    <w:p w:rsidR="006E6D74" w:rsidRPr="00B52D38" w:rsidRDefault="003220F7">
      <w:pPr>
        <w:numPr>
          <w:ilvl w:val="0"/>
          <w:numId w:val="2"/>
        </w:numPr>
        <w:shd w:val="clear" w:color="auto" w:fill="F3F3F3"/>
        <w:spacing w:line="240" w:lineRule="auto"/>
        <w:rPr>
          <w:sz w:val="20"/>
          <w:szCs w:val="20"/>
          <w:lang w:val="fr"/>
        </w:rPr>
      </w:pPr>
      <w:r>
        <w:rPr>
          <w:i/>
          <w:iCs/>
          <w:sz w:val="20"/>
          <w:szCs w:val="20"/>
          <w:u w:val="single"/>
          <w:lang w:val="fr"/>
        </w:rPr>
        <w:t>Hub Services Pro et Entreprise uniquement :</w:t>
      </w:r>
      <w:r>
        <w:rPr>
          <w:i/>
          <w:iCs/>
          <w:sz w:val="20"/>
          <w:szCs w:val="20"/>
          <w:lang w:val="fr"/>
        </w:rPr>
        <w:t xml:space="preserve"> </w:t>
      </w:r>
      <w:proofErr w:type="spellStart"/>
      <w:r w:rsidR="00FF44CD" w:rsidRPr="00B52D38">
        <w:rPr>
          <w:sz w:val="20"/>
          <w:szCs w:val="20"/>
          <w:lang w:val="fr"/>
        </w:rPr>
        <w:t>onboarding</w:t>
      </w:r>
      <w:proofErr w:type="spellEnd"/>
      <w:r w:rsidRPr="00B52D38">
        <w:rPr>
          <w:sz w:val="20"/>
          <w:szCs w:val="20"/>
          <w:lang w:val="fr"/>
        </w:rPr>
        <w:t xml:space="preserve"> ou formation du client sur la mise en place d'une base de connaissances (qui sera indexée par Google) et de tickets (formulaire, attribution, étapes) ; et</w:t>
      </w:r>
    </w:p>
    <w:p w:rsidR="006E6D74" w:rsidRPr="00F45B6A" w:rsidRDefault="003220F7">
      <w:pPr>
        <w:numPr>
          <w:ilvl w:val="0"/>
          <w:numId w:val="2"/>
        </w:numPr>
        <w:shd w:val="clear" w:color="auto" w:fill="F3F3F3"/>
        <w:spacing w:line="240" w:lineRule="auto"/>
        <w:rPr>
          <w:rFonts w:ascii="Roboto" w:eastAsia="Roboto" w:hAnsi="Roboto" w:cs="Roboto"/>
          <w:sz w:val="20"/>
          <w:szCs w:val="20"/>
          <w:lang w:val="fr-FR"/>
        </w:rPr>
      </w:pPr>
      <w:r>
        <w:rPr>
          <w:i/>
          <w:iCs/>
          <w:sz w:val="20"/>
          <w:szCs w:val="20"/>
          <w:u w:val="single"/>
          <w:lang w:val="fr"/>
        </w:rPr>
        <w:t>Hub Services Entreprise uniquement :</w:t>
      </w:r>
      <w:r>
        <w:rPr>
          <w:sz w:val="20"/>
          <w:szCs w:val="20"/>
          <w:lang w:val="fr"/>
        </w:rPr>
        <w:t xml:space="preserve"> aide à la mise en place d'une authentification unique, d'équipes et d'un système de score prévisionnel des leads ; et</w:t>
      </w:r>
    </w:p>
    <w:p w:rsidR="006E6D74" w:rsidRPr="000D09DC" w:rsidRDefault="003220F7">
      <w:pPr>
        <w:numPr>
          <w:ilvl w:val="0"/>
          <w:numId w:val="2"/>
        </w:numPr>
        <w:shd w:val="clear" w:color="auto" w:fill="F3F3F3"/>
        <w:spacing w:line="240" w:lineRule="auto"/>
        <w:rPr>
          <w:sz w:val="20"/>
          <w:szCs w:val="20"/>
          <w:lang w:val="fr-FR"/>
        </w:rPr>
      </w:pPr>
      <w:r w:rsidRPr="000D09DC">
        <w:rPr>
          <w:sz w:val="20"/>
          <w:szCs w:val="20"/>
          <w:lang w:val="fr"/>
        </w:rPr>
        <w:t>Point de contact désigné par le Partenaire pour le Client pendant toute la durée du contrat, qui gérera la relation partenaire-client, par exemple un responsable de projet, un consultant inbound ou un gestionnaire de compte.</w:t>
      </w:r>
    </w:p>
    <w:p w:rsidR="006E6D74" w:rsidRPr="00F45B6A" w:rsidRDefault="006E6D74">
      <w:pPr>
        <w:spacing w:line="240" w:lineRule="auto"/>
        <w:jc w:val="center"/>
        <w:rPr>
          <w:b/>
          <w:sz w:val="26"/>
          <w:szCs w:val="26"/>
          <w:lang w:val="fr-FR"/>
        </w:rPr>
      </w:pPr>
    </w:p>
    <w:p w:rsidR="006E6D74" w:rsidRDefault="003220F7">
      <w:pPr>
        <w:rPr>
          <w:b/>
          <w:sz w:val="30"/>
          <w:szCs w:val="30"/>
          <w:u w:val="single"/>
        </w:rPr>
      </w:pPr>
      <w:r>
        <w:rPr>
          <w:b/>
          <w:bCs/>
          <w:sz w:val="30"/>
          <w:szCs w:val="30"/>
          <w:u w:val="single"/>
          <w:lang w:val="fr"/>
        </w:rPr>
        <w:t>CMS</w:t>
      </w:r>
    </w:p>
    <w:tbl>
      <w:tblPr>
        <w:tblStyle w:val="a4"/>
        <w:tblW w:w="9375"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618"/>
        <w:gridCol w:w="4132"/>
        <w:gridCol w:w="601"/>
        <w:gridCol w:w="4024"/>
      </w:tblGrid>
      <w:tr w:rsidR="006E6D74">
        <w:trPr>
          <w:trHeight w:val="500"/>
        </w:trPr>
        <w:tc>
          <w:tcPr>
            <w:tcW w:w="600" w:type="dxa"/>
            <w:shd w:val="clear" w:color="auto" w:fill="FFFFFF"/>
            <w:tcMar>
              <w:top w:w="100" w:type="dxa"/>
              <w:left w:w="100" w:type="dxa"/>
              <w:bottom w:w="100" w:type="dxa"/>
              <w:right w:w="100" w:type="dxa"/>
            </w:tcMar>
          </w:tcPr>
          <w:p w:rsidR="006E6D74" w:rsidRDefault="003220F7">
            <w:pPr>
              <w:widowControl w:val="0"/>
              <w:spacing w:line="240" w:lineRule="auto"/>
              <w:rPr>
                <w:b/>
                <w:sz w:val="34"/>
                <w:szCs w:val="34"/>
                <w:u w:val="single"/>
              </w:rPr>
            </w:pPr>
            <w:r>
              <w:rPr>
                <w:b/>
                <w:bCs/>
                <w:noProof/>
                <w:sz w:val="30"/>
                <w:szCs w:val="30"/>
                <w:lang w:val="fr"/>
              </w:rPr>
              <w:drawing>
                <wp:inline distT="0" distB="0" distL="0" distR="0">
                  <wp:extent cx="247650" cy="223838"/>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47650" cy="223838"/>
                          </a:xfrm>
                          <a:prstGeom prst="rect">
                            <a:avLst/>
                          </a:prstGeom>
                          <a:ln/>
                        </pic:spPr>
                      </pic:pic>
                    </a:graphicData>
                  </a:graphic>
                </wp:inline>
              </w:drawing>
            </w:r>
          </w:p>
        </w:tc>
        <w:tc>
          <w:tcPr>
            <w:tcW w:w="4020" w:type="dxa"/>
            <w:shd w:val="clear" w:color="auto" w:fill="FFFFFF"/>
            <w:tcMar>
              <w:top w:w="100" w:type="dxa"/>
              <w:left w:w="100" w:type="dxa"/>
              <w:bottom w:w="100" w:type="dxa"/>
              <w:right w:w="100" w:type="dxa"/>
            </w:tcMar>
          </w:tcPr>
          <w:p w:rsidR="006E6D74" w:rsidRDefault="003220F7">
            <w:pPr>
              <w:widowControl w:val="0"/>
              <w:spacing w:line="240" w:lineRule="auto"/>
              <w:rPr>
                <w:b/>
                <w:sz w:val="26"/>
                <w:szCs w:val="26"/>
              </w:rPr>
            </w:pPr>
            <w:r>
              <w:rPr>
                <w:b/>
                <w:bCs/>
                <w:sz w:val="26"/>
                <w:szCs w:val="26"/>
                <w:lang w:val="fr"/>
              </w:rPr>
              <w:t>CMS</w:t>
            </w:r>
          </w:p>
        </w:tc>
        <w:tc>
          <w:tcPr>
            <w:tcW w:w="585" w:type="dxa"/>
            <w:shd w:val="clear" w:color="auto" w:fill="FFFFFF"/>
            <w:tcMar>
              <w:top w:w="100" w:type="dxa"/>
              <w:left w:w="100" w:type="dxa"/>
              <w:bottom w:w="100" w:type="dxa"/>
              <w:right w:w="100" w:type="dxa"/>
            </w:tcMar>
          </w:tcPr>
          <w:p w:rsidR="006E6D74" w:rsidRDefault="006E6D74">
            <w:pPr>
              <w:widowControl w:val="0"/>
              <w:spacing w:line="240" w:lineRule="auto"/>
              <w:rPr>
                <w:b/>
                <w:sz w:val="26"/>
                <w:szCs w:val="26"/>
              </w:rPr>
            </w:pPr>
          </w:p>
        </w:tc>
        <w:tc>
          <w:tcPr>
            <w:tcW w:w="3915" w:type="dxa"/>
            <w:shd w:val="clear" w:color="auto" w:fill="FFFFFF"/>
            <w:tcMar>
              <w:top w:w="100" w:type="dxa"/>
              <w:left w:w="100" w:type="dxa"/>
              <w:bottom w:w="100" w:type="dxa"/>
              <w:right w:w="100" w:type="dxa"/>
            </w:tcMar>
          </w:tcPr>
          <w:p w:rsidR="006E6D74" w:rsidRDefault="006E6D74">
            <w:pPr>
              <w:widowControl w:val="0"/>
              <w:spacing w:line="240" w:lineRule="auto"/>
              <w:rPr>
                <w:b/>
                <w:sz w:val="26"/>
                <w:szCs w:val="26"/>
              </w:rPr>
            </w:pPr>
          </w:p>
        </w:tc>
      </w:tr>
    </w:tbl>
    <w:p w:rsidR="006E6D74" w:rsidRPr="00F45B6A" w:rsidRDefault="003220F7">
      <w:pPr>
        <w:spacing w:line="240" w:lineRule="auto"/>
        <w:rPr>
          <w:sz w:val="20"/>
          <w:szCs w:val="20"/>
          <w:lang w:val="fr-FR"/>
        </w:rPr>
      </w:pPr>
      <w:r>
        <w:rPr>
          <w:sz w:val="20"/>
          <w:szCs w:val="20"/>
          <w:lang w:val="fr"/>
        </w:rPr>
        <w:t>L'</w:t>
      </w:r>
      <w:r w:rsidR="00F45B6A">
        <w:rPr>
          <w:sz w:val="20"/>
          <w:szCs w:val="20"/>
          <w:lang w:val="fr"/>
        </w:rPr>
        <w:t>Accord de services</w:t>
      </w:r>
      <w:r>
        <w:rPr>
          <w:sz w:val="20"/>
          <w:szCs w:val="20"/>
          <w:lang w:val="fr"/>
        </w:rPr>
        <w:t xml:space="preserve"> est conclu pour une durée minimale de 2 mois et comprend, sans limitation, les services suivants : </w:t>
      </w:r>
    </w:p>
    <w:p w:rsidR="006E6D74" w:rsidRPr="000D09DC" w:rsidRDefault="00FF44CD">
      <w:pPr>
        <w:numPr>
          <w:ilvl w:val="0"/>
          <w:numId w:val="4"/>
        </w:numPr>
        <w:shd w:val="clear" w:color="auto" w:fill="F3F3F3"/>
        <w:spacing w:before="160" w:line="240" w:lineRule="auto"/>
        <w:rPr>
          <w:sz w:val="20"/>
          <w:szCs w:val="20"/>
          <w:lang w:val="fr-FR"/>
        </w:rPr>
      </w:pPr>
      <w:proofErr w:type="spellStart"/>
      <w:r>
        <w:rPr>
          <w:rFonts w:eastAsia="Roboto"/>
          <w:sz w:val="20"/>
          <w:szCs w:val="20"/>
          <w:lang w:val="fr"/>
        </w:rPr>
        <w:t>Onboarding</w:t>
      </w:r>
      <w:proofErr w:type="spellEnd"/>
      <w:r>
        <w:rPr>
          <w:rFonts w:eastAsia="Roboto"/>
          <w:sz w:val="20"/>
          <w:szCs w:val="20"/>
          <w:lang w:val="fr"/>
        </w:rPr>
        <w:t xml:space="preserve"> pour </w:t>
      </w:r>
      <w:r w:rsidR="003220F7" w:rsidRPr="000D09DC">
        <w:rPr>
          <w:rFonts w:eastAsia="Roboto"/>
          <w:sz w:val="20"/>
          <w:szCs w:val="20"/>
          <w:lang w:val="fr"/>
        </w:rPr>
        <w:t xml:space="preserve">la configuration technique ; </w:t>
      </w:r>
    </w:p>
    <w:p w:rsidR="006E6D74" w:rsidRPr="000D09DC" w:rsidRDefault="00FF44CD">
      <w:pPr>
        <w:numPr>
          <w:ilvl w:val="0"/>
          <w:numId w:val="4"/>
        </w:numPr>
        <w:shd w:val="clear" w:color="auto" w:fill="F3F3F3"/>
        <w:spacing w:line="240" w:lineRule="auto"/>
        <w:rPr>
          <w:sz w:val="20"/>
          <w:szCs w:val="20"/>
          <w:lang w:val="fr-FR"/>
        </w:rPr>
      </w:pPr>
      <w:proofErr w:type="spellStart"/>
      <w:r>
        <w:rPr>
          <w:sz w:val="20"/>
          <w:szCs w:val="20"/>
          <w:lang w:val="fr"/>
        </w:rPr>
        <w:t>Onboarding</w:t>
      </w:r>
      <w:proofErr w:type="spellEnd"/>
      <w:r w:rsidR="003220F7" w:rsidRPr="000D09DC">
        <w:rPr>
          <w:sz w:val="20"/>
          <w:szCs w:val="20"/>
          <w:lang w:val="fr"/>
        </w:rPr>
        <w:t xml:space="preserve"> ou formation du client sur la mise en place d'un chemin de conversion (</w:t>
      </w:r>
      <w:r w:rsidR="003220F7" w:rsidRPr="000D09DC">
        <w:rPr>
          <w:sz w:val="20"/>
          <w:szCs w:val="20"/>
          <w:shd w:val="clear" w:color="auto" w:fill="EFEFEF"/>
          <w:lang w:val="fr"/>
        </w:rPr>
        <w:t>par ex., CTA, page de destination, page de remerciement), sur les blogs et sur les pratiques liées au SEO</w:t>
      </w:r>
      <w:r w:rsidR="003220F7" w:rsidRPr="000D09DC">
        <w:rPr>
          <w:sz w:val="20"/>
          <w:szCs w:val="20"/>
          <w:lang w:val="fr"/>
        </w:rPr>
        <w:t> ; et</w:t>
      </w:r>
    </w:p>
    <w:p w:rsidR="006E6D74" w:rsidRPr="000D09DC" w:rsidRDefault="003220F7">
      <w:pPr>
        <w:numPr>
          <w:ilvl w:val="0"/>
          <w:numId w:val="4"/>
        </w:numPr>
        <w:shd w:val="clear" w:color="auto" w:fill="F3F3F3"/>
        <w:spacing w:line="240" w:lineRule="auto"/>
        <w:rPr>
          <w:sz w:val="20"/>
          <w:szCs w:val="20"/>
          <w:lang w:val="fr-FR"/>
        </w:rPr>
      </w:pPr>
      <w:r w:rsidRPr="000D09DC">
        <w:rPr>
          <w:sz w:val="20"/>
          <w:szCs w:val="20"/>
          <w:lang w:val="fr"/>
        </w:rPr>
        <w:t>Point de contact désigné par le Partenaire pour le Client pendant toute la durée du contrat, qui gérera la relation partenaire-client, par exemple un responsable de projet, un consultant inbound ou un gestionnaire de compte.</w:t>
      </w:r>
    </w:p>
    <w:p w:rsidR="006E6D74" w:rsidRPr="00F45B6A" w:rsidRDefault="006E6D74">
      <w:pPr>
        <w:spacing w:line="240" w:lineRule="auto"/>
        <w:rPr>
          <w:sz w:val="20"/>
          <w:szCs w:val="20"/>
          <w:lang w:val="fr-FR"/>
        </w:rPr>
      </w:pPr>
    </w:p>
    <w:p w:rsidR="006E6D74" w:rsidRPr="00F45B6A" w:rsidRDefault="006E6D74">
      <w:pPr>
        <w:spacing w:line="240" w:lineRule="auto"/>
        <w:rPr>
          <w:sz w:val="20"/>
          <w:szCs w:val="20"/>
          <w:lang w:val="fr-FR"/>
        </w:rPr>
      </w:pPr>
    </w:p>
    <w:p w:rsidR="006E6D74" w:rsidRPr="00F45B6A" w:rsidRDefault="003220F7">
      <w:pPr>
        <w:shd w:val="clear" w:color="auto" w:fill="F3F3F3"/>
        <w:spacing w:before="160" w:line="240" w:lineRule="auto"/>
        <w:rPr>
          <w:rFonts w:ascii="Roboto" w:eastAsia="Roboto" w:hAnsi="Roboto" w:cs="Roboto"/>
          <w:sz w:val="20"/>
          <w:szCs w:val="20"/>
          <w:lang w:val="fr-FR"/>
        </w:rPr>
      </w:pPr>
      <w:r>
        <w:rPr>
          <w:rFonts w:ascii="Roboto" w:eastAsia="Roboto" w:hAnsi="Roboto" w:cs="Roboto"/>
          <w:sz w:val="20"/>
          <w:szCs w:val="20"/>
          <w:lang w:val="fr"/>
        </w:rPr>
        <w:t>Je reconnais et accepte que le présent document constitue une simple confirmation de l'</w:t>
      </w:r>
      <w:r w:rsidR="00F45B6A">
        <w:rPr>
          <w:rFonts w:ascii="Roboto" w:eastAsia="Roboto" w:hAnsi="Roboto" w:cs="Roboto"/>
          <w:sz w:val="20"/>
          <w:szCs w:val="20"/>
          <w:lang w:val="fr"/>
        </w:rPr>
        <w:t>Accord de services</w:t>
      </w:r>
      <w:r>
        <w:rPr>
          <w:rFonts w:ascii="Roboto" w:eastAsia="Roboto" w:hAnsi="Roboto" w:cs="Roboto"/>
          <w:sz w:val="20"/>
          <w:szCs w:val="20"/>
          <w:lang w:val="fr"/>
        </w:rPr>
        <w:t xml:space="preserve"> conclu entre le Client et le Partenaire pour les services liés à HubSpot qui sont fournis uniquement par le Partenaire et non par la société HubSpot elle-même. Il ne constitue pas une modification du Bon de commande, des Conditions d'utilisation ni d'aucun autre accord conclu entre le Client et HubSpot. HubSpot n'est en aucun cas responsable des services fournis par le Partenaire. </w:t>
      </w:r>
    </w:p>
    <w:p w:rsidR="006E6D74" w:rsidRPr="00F45B6A" w:rsidRDefault="003220F7">
      <w:pPr>
        <w:shd w:val="clear" w:color="auto" w:fill="F3F3F3"/>
        <w:spacing w:before="160" w:line="240" w:lineRule="auto"/>
        <w:rPr>
          <w:rFonts w:ascii="Roboto" w:eastAsia="Roboto" w:hAnsi="Roboto" w:cs="Roboto"/>
          <w:sz w:val="20"/>
          <w:szCs w:val="20"/>
          <w:u w:val="single"/>
          <w:lang w:val="fr-FR"/>
        </w:rPr>
      </w:pPr>
      <w:r>
        <w:rPr>
          <w:rFonts w:ascii="Roboto" w:eastAsia="Roboto" w:hAnsi="Roboto" w:cs="Roboto"/>
          <w:sz w:val="20"/>
          <w:szCs w:val="20"/>
          <w:lang w:val="fr"/>
        </w:rPr>
        <w:t xml:space="preserve">                                         </w:t>
      </w:r>
      <w:r>
        <w:rPr>
          <w:rFonts w:ascii="Roboto" w:eastAsia="Roboto" w:hAnsi="Roboto" w:cs="Roboto"/>
          <w:sz w:val="20"/>
          <w:szCs w:val="20"/>
          <w:u w:val="single"/>
          <w:lang w:val="fr"/>
        </w:rPr>
        <w:t xml:space="preserve">             </w:t>
      </w:r>
    </w:p>
    <w:p w:rsidR="006E6D74" w:rsidRDefault="003220F7">
      <w:pPr>
        <w:shd w:val="clear" w:color="auto" w:fill="F3F3F3"/>
        <w:spacing w:before="160" w:line="240" w:lineRule="auto"/>
        <w:rPr>
          <w:rFonts w:ascii="Roboto" w:eastAsia="Roboto" w:hAnsi="Roboto" w:cs="Roboto"/>
          <w:b/>
          <w:sz w:val="20"/>
          <w:szCs w:val="20"/>
        </w:rPr>
      </w:pPr>
      <w:r>
        <w:rPr>
          <w:rFonts w:ascii="Roboto" w:hAnsi="Roboto"/>
          <w:sz w:val="20"/>
          <w:szCs w:val="20"/>
          <w:u w:val="single"/>
          <w:lang w:val="fr"/>
        </w:rPr>
        <w:t>Signature du client :</w:t>
      </w:r>
      <w:r>
        <w:rPr>
          <w:rFonts w:ascii="Roboto" w:hAnsi="Roboto"/>
          <w:b/>
          <w:bCs/>
          <w:sz w:val="20"/>
          <w:szCs w:val="20"/>
          <w:lang w:val="fr"/>
        </w:rPr>
        <w:t xml:space="preserve"> </w:t>
      </w:r>
      <w:r>
        <w:rPr>
          <w:sz w:val="24"/>
          <w:szCs w:val="24"/>
          <w:u w:val="single"/>
          <w:lang w:val="fr"/>
        </w:rPr>
        <w:t>____________________</w:t>
      </w:r>
    </w:p>
    <w:p w:rsidR="006E6D74" w:rsidRDefault="006E6D74">
      <w:pPr>
        <w:shd w:val="clear" w:color="auto" w:fill="F3F3F3"/>
        <w:spacing w:before="160" w:line="240" w:lineRule="auto"/>
        <w:rPr>
          <w:rFonts w:ascii="Roboto" w:eastAsia="Roboto" w:hAnsi="Roboto" w:cs="Roboto"/>
          <w:b/>
          <w:sz w:val="20"/>
          <w:szCs w:val="20"/>
          <w:u w:val="single"/>
        </w:rPr>
      </w:pPr>
    </w:p>
    <w:p w:rsidR="006E6D74" w:rsidRPr="00E975FC" w:rsidRDefault="003220F7" w:rsidP="00E975FC">
      <w:pPr>
        <w:shd w:val="clear" w:color="auto" w:fill="F3F3F3"/>
        <w:spacing w:before="160" w:line="240" w:lineRule="auto"/>
        <w:rPr>
          <w:rFonts w:ascii="Roboto" w:eastAsia="Roboto" w:hAnsi="Roboto" w:cs="Roboto"/>
          <w:sz w:val="20"/>
          <w:szCs w:val="20"/>
          <w:u w:val="single"/>
        </w:rPr>
      </w:pPr>
      <w:r>
        <w:rPr>
          <w:rFonts w:ascii="Roboto" w:eastAsia="Roboto" w:hAnsi="Roboto" w:cs="Roboto"/>
          <w:sz w:val="20"/>
          <w:szCs w:val="20"/>
          <w:u w:val="single"/>
          <w:lang w:val="fr"/>
        </w:rPr>
        <w:t>D</w:t>
      </w:r>
      <w:bookmarkStart w:id="0" w:name="_GoBack"/>
      <w:bookmarkEnd w:id="0"/>
      <w:r>
        <w:rPr>
          <w:rFonts w:ascii="Roboto" w:eastAsia="Roboto" w:hAnsi="Roboto" w:cs="Roboto"/>
          <w:sz w:val="20"/>
          <w:szCs w:val="20"/>
          <w:u w:val="single"/>
          <w:lang w:val="fr"/>
        </w:rPr>
        <w:t>ate : ______________</w:t>
      </w:r>
    </w:p>
    <w:sectPr w:rsidR="006E6D74" w:rsidRPr="00E975FC">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D65" w:rsidRDefault="00537D65">
      <w:pPr>
        <w:spacing w:line="240" w:lineRule="auto"/>
      </w:pPr>
      <w:r>
        <w:separator/>
      </w:r>
    </w:p>
  </w:endnote>
  <w:endnote w:type="continuationSeparator" w:id="0">
    <w:p w:rsidR="00537D65" w:rsidRDefault="00537D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6D74" w:rsidRDefault="006E6D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D65" w:rsidRDefault="00537D65">
      <w:pPr>
        <w:spacing w:line="240" w:lineRule="auto"/>
      </w:pPr>
      <w:r>
        <w:separator/>
      </w:r>
    </w:p>
  </w:footnote>
  <w:footnote w:type="continuationSeparator" w:id="0">
    <w:p w:rsidR="00537D65" w:rsidRDefault="00537D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9337FB"/>
    <w:multiLevelType w:val="multilevel"/>
    <w:tmpl w:val="CB726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645290"/>
    <w:multiLevelType w:val="multilevel"/>
    <w:tmpl w:val="27EE63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84138E9"/>
    <w:multiLevelType w:val="multilevel"/>
    <w:tmpl w:val="212AC8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78F51D0"/>
    <w:multiLevelType w:val="multilevel"/>
    <w:tmpl w:val="B55C3D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74"/>
    <w:rsid w:val="000D09DC"/>
    <w:rsid w:val="0018242D"/>
    <w:rsid w:val="003220F7"/>
    <w:rsid w:val="00537D65"/>
    <w:rsid w:val="006E6D74"/>
    <w:rsid w:val="00A1548F"/>
    <w:rsid w:val="00B52D38"/>
    <w:rsid w:val="00E975FC"/>
    <w:rsid w:val="00F45B6A"/>
    <w:rsid w:val="00FF44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F737FE-05F8-44D7-A989-DAB62C0A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Textedebulles">
    <w:name w:val="Balloon Text"/>
    <w:basedOn w:val="Normal"/>
    <w:link w:val="TextedebullesCar"/>
    <w:uiPriority w:val="99"/>
    <w:semiHidden/>
    <w:unhideWhenUsed/>
    <w:rsid w:val="00F45B6A"/>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45B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1028</Words>
  <Characters>5656</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Vincente Morlet</cp:lastModifiedBy>
  <cp:revision>3</cp:revision>
  <dcterms:created xsi:type="dcterms:W3CDTF">2020-03-04T15:03:00Z</dcterms:created>
  <dcterms:modified xsi:type="dcterms:W3CDTF">2020-03-04T15:07:00Z</dcterms:modified>
</cp:coreProperties>
</file>