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B001C" w14:textId="297EEC6F" w:rsidR="006A4931" w:rsidRDefault="00CB01EE" w:rsidP="00063382">
      <w:pPr>
        <w:spacing w:after="0"/>
      </w:pPr>
      <w:bookmarkStart w:id="0" w:name="_GoBack"/>
      <w:bookmarkEnd w:id="0"/>
      <w:r w:rsidRPr="00860000">
        <w:rPr>
          <w:b/>
        </w:rPr>
        <w:t>Quarantine</w:t>
      </w:r>
      <w:r w:rsidRPr="00860000">
        <w:t xml:space="preserve"> is for individuals who may have been exposed to someone who is COVID-19 </w:t>
      </w:r>
      <w:r w:rsidR="00CC6CAC" w:rsidRPr="00860000">
        <w:t>positive but</w:t>
      </w:r>
      <w:r w:rsidRPr="00860000">
        <w:t xml:space="preserve"> are not exhibiting any symptoms and have not tested positive. Individuals who are in quarantine should stay in place for 14 days.</w:t>
      </w:r>
    </w:p>
    <w:p w14:paraId="7AB09CDF" w14:textId="77777777" w:rsidR="00FC3A4A" w:rsidRDefault="00FC3A4A" w:rsidP="00063382">
      <w:pPr>
        <w:spacing w:after="0"/>
      </w:pPr>
    </w:p>
    <w:p w14:paraId="05413A44" w14:textId="77777777" w:rsidR="00DF4A6A" w:rsidRPr="009D5BA1" w:rsidRDefault="00DF4A6A" w:rsidP="00063382">
      <w:pPr>
        <w:spacing w:after="0"/>
        <w:rPr>
          <w:sz w:val="8"/>
          <w:szCs w:val="8"/>
        </w:rPr>
      </w:pPr>
    </w:p>
    <w:tbl>
      <w:tblPr>
        <w:tblpPr w:leftFromText="180" w:rightFromText="180" w:vertAnchor="text" w:horzAnchor="margin" w:tblpY="1033"/>
        <w:tblW w:w="1486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20" w:firstRow="1" w:lastRow="0" w:firstColumn="0" w:lastColumn="0" w:noHBand="0" w:noVBand="1"/>
      </w:tblPr>
      <w:tblGrid>
        <w:gridCol w:w="1344"/>
        <w:gridCol w:w="2580"/>
        <w:gridCol w:w="2160"/>
        <w:gridCol w:w="8784"/>
      </w:tblGrid>
      <w:tr w:rsidR="00524BF9" w:rsidRPr="00C540A2" w14:paraId="45F44103" w14:textId="77777777" w:rsidTr="009D5BA1">
        <w:trPr>
          <w:trHeight w:val="565"/>
        </w:trPr>
        <w:tc>
          <w:tcPr>
            <w:tcW w:w="1344" w:type="dxa"/>
            <w:shd w:val="clear" w:color="auto" w:fill="365F91" w:themeFill="accent1" w:themeFillShade="BF"/>
            <w:tcMar>
              <w:top w:w="72" w:type="dxa"/>
              <w:left w:w="144" w:type="dxa"/>
              <w:bottom w:w="72" w:type="dxa"/>
              <w:right w:w="144" w:type="dxa"/>
            </w:tcMar>
            <w:vAlign w:val="center"/>
          </w:tcPr>
          <w:p w14:paraId="0E91D539" w14:textId="77777777" w:rsidR="00524BF9" w:rsidRPr="00956AFC" w:rsidRDefault="00524BF9" w:rsidP="00524BF9">
            <w:pPr>
              <w:spacing w:after="0"/>
              <w:jc w:val="center"/>
              <w:rPr>
                <w:b/>
                <w:bCs/>
                <w:i/>
                <w:iCs/>
                <w:color w:val="FFFFFF" w:themeColor="background1"/>
                <w:sz w:val="24"/>
                <w:szCs w:val="24"/>
              </w:rPr>
            </w:pPr>
            <w:r w:rsidRPr="00956AFC">
              <w:rPr>
                <w:b/>
                <w:bCs/>
                <w:i/>
                <w:iCs/>
                <w:color w:val="FFFFFF" w:themeColor="background1"/>
                <w:sz w:val="24"/>
                <w:szCs w:val="24"/>
              </w:rPr>
              <w:t>Worker Type</w:t>
            </w:r>
          </w:p>
        </w:tc>
        <w:tc>
          <w:tcPr>
            <w:tcW w:w="2580" w:type="dxa"/>
            <w:shd w:val="clear" w:color="auto" w:fill="365F91" w:themeFill="accent1" w:themeFillShade="BF"/>
            <w:tcMar>
              <w:top w:w="72" w:type="dxa"/>
              <w:left w:w="144" w:type="dxa"/>
              <w:bottom w:w="72" w:type="dxa"/>
              <w:right w:w="144" w:type="dxa"/>
            </w:tcMar>
            <w:vAlign w:val="center"/>
          </w:tcPr>
          <w:p w14:paraId="0BADB763" w14:textId="77777777" w:rsidR="00524BF9" w:rsidRPr="00956AFC" w:rsidRDefault="00524BF9" w:rsidP="00524BF9">
            <w:pPr>
              <w:spacing w:after="0"/>
              <w:jc w:val="center"/>
              <w:rPr>
                <w:color w:val="FFFFFF" w:themeColor="background1"/>
                <w:sz w:val="24"/>
                <w:szCs w:val="24"/>
              </w:rPr>
            </w:pPr>
            <w:r w:rsidRPr="00956AFC">
              <w:rPr>
                <w:b/>
                <w:i/>
                <w:color w:val="FFFFFF" w:themeColor="background1"/>
                <w:sz w:val="24"/>
                <w:szCs w:val="24"/>
              </w:rPr>
              <w:t xml:space="preserve">Quarantine for 14 days </w:t>
            </w:r>
            <w:r w:rsidRPr="00956AFC">
              <w:rPr>
                <w:color w:val="FFFFFF" w:themeColor="background1"/>
                <w:sz w:val="24"/>
                <w:szCs w:val="24"/>
              </w:rPr>
              <w:t>when…</w:t>
            </w:r>
          </w:p>
        </w:tc>
        <w:tc>
          <w:tcPr>
            <w:tcW w:w="2160" w:type="dxa"/>
            <w:shd w:val="clear" w:color="auto" w:fill="365F91" w:themeFill="accent1" w:themeFillShade="BF"/>
            <w:tcMar>
              <w:top w:w="72" w:type="dxa"/>
              <w:left w:w="144" w:type="dxa"/>
              <w:bottom w:w="72" w:type="dxa"/>
              <w:right w:w="144" w:type="dxa"/>
            </w:tcMar>
            <w:vAlign w:val="center"/>
          </w:tcPr>
          <w:p w14:paraId="226115FA" w14:textId="77777777" w:rsidR="00524BF9" w:rsidRPr="00956AFC" w:rsidRDefault="00524BF9" w:rsidP="00524BF9">
            <w:pPr>
              <w:spacing w:after="0"/>
              <w:jc w:val="center"/>
              <w:rPr>
                <w:rFonts w:cstheme="minorHAnsi"/>
                <w:color w:val="FFFFFF" w:themeColor="background1"/>
                <w:sz w:val="24"/>
                <w:szCs w:val="24"/>
              </w:rPr>
            </w:pPr>
            <w:r w:rsidRPr="00956AFC">
              <w:rPr>
                <w:rFonts w:cstheme="minorHAnsi"/>
                <w:b/>
                <w:i/>
                <w:color w:val="FFFFFF" w:themeColor="background1"/>
                <w:sz w:val="24"/>
                <w:szCs w:val="24"/>
              </w:rPr>
              <w:t xml:space="preserve">Isolate </w:t>
            </w:r>
            <w:r w:rsidRPr="00956AFC">
              <w:rPr>
                <w:rFonts w:cstheme="minorHAnsi"/>
                <w:color w:val="FFFFFF" w:themeColor="background1"/>
                <w:sz w:val="24"/>
                <w:szCs w:val="24"/>
              </w:rPr>
              <w:t>when…</w:t>
            </w:r>
          </w:p>
        </w:tc>
        <w:tc>
          <w:tcPr>
            <w:tcW w:w="8784" w:type="dxa"/>
            <w:shd w:val="clear" w:color="auto" w:fill="365F91" w:themeFill="accent1" w:themeFillShade="BF"/>
            <w:tcMar>
              <w:top w:w="72" w:type="dxa"/>
              <w:left w:w="144" w:type="dxa"/>
              <w:bottom w:w="72" w:type="dxa"/>
              <w:right w:w="144" w:type="dxa"/>
            </w:tcMar>
            <w:vAlign w:val="center"/>
          </w:tcPr>
          <w:p w14:paraId="0194D677" w14:textId="77777777" w:rsidR="00524BF9" w:rsidRPr="00956AFC" w:rsidRDefault="00524BF9" w:rsidP="00524BF9">
            <w:pPr>
              <w:spacing w:after="0"/>
              <w:jc w:val="center"/>
              <w:rPr>
                <w:rFonts w:cstheme="minorHAnsi"/>
                <w:color w:val="FFFFFF" w:themeColor="background1"/>
                <w:sz w:val="24"/>
                <w:szCs w:val="24"/>
              </w:rPr>
            </w:pPr>
            <w:r>
              <w:rPr>
                <w:rFonts w:cstheme="minorHAnsi"/>
                <w:b/>
                <w:i/>
                <w:color w:val="FFFFFF" w:themeColor="background1"/>
                <w:sz w:val="24"/>
                <w:szCs w:val="24"/>
              </w:rPr>
              <w:t xml:space="preserve">End Isolation and </w:t>
            </w:r>
            <w:r w:rsidRPr="00956AFC">
              <w:rPr>
                <w:rFonts w:cstheme="minorHAnsi"/>
                <w:b/>
                <w:i/>
                <w:color w:val="FFFFFF" w:themeColor="background1"/>
                <w:sz w:val="24"/>
                <w:szCs w:val="24"/>
              </w:rPr>
              <w:t>Return to work</w:t>
            </w:r>
            <w:r w:rsidRPr="00956AFC">
              <w:rPr>
                <w:rFonts w:cstheme="minorHAnsi"/>
                <w:color w:val="FFFFFF" w:themeColor="background1"/>
                <w:sz w:val="24"/>
                <w:szCs w:val="24"/>
              </w:rPr>
              <w:t xml:space="preserve"> when…</w:t>
            </w:r>
          </w:p>
        </w:tc>
      </w:tr>
      <w:tr w:rsidR="00524BF9" w:rsidRPr="0010083B" w14:paraId="7493A6DD" w14:textId="77777777" w:rsidTr="007B1AE0">
        <w:trPr>
          <w:trHeight w:val="1594"/>
        </w:trPr>
        <w:tc>
          <w:tcPr>
            <w:tcW w:w="1344" w:type="dxa"/>
            <w:shd w:val="clear" w:color="auto" w:fill="DCE6F2"/>
            <w:tcMar>
              <w:top w:w="72" w:type="dxa"/>
              <w:left w:w="144" w:type="dxa"/>
              <w:bottom w:w="72" w:type="dxa"/>
              <w:right w:w="144" w:type="dxa"/>
            </w:tcMar>
            <w:vAlign w:val="center"/>
            <w:hideMark/>
          </w:tcPr>
          <w:p w14:paraId="466EE941" w14:textId="77777777" w:rsidR="00524BF9" w:rsidRPr="00C540A2" w:rsidRDefault="00524BF9" w:rsidP="00524BF9">
            <w:pPr>
              <w:spacing w:after="0"/>
              <w:jc w:val="center"/>
            </w:pPr>
            <w:r w:rsidRPr="00C540A2">
              <w:rPr>
                <w:b/>
                <w:bCs/>
                <w:i/>
                <w:iCs/>
              </w:rPr>
              <w:t>Health Care Workers</w:t>
            </w:r>
          </w:p>
        </w:tc>
        <w:tc>
          <w:tcPr>
            <w:tcW w:w="2580" w:type="dxa"/>
            <w:vMerge w:val="restart"/>
            <w:shd w:val="clear" w:color="auto" w:fill="auto"/>
            <w:tcMar>
              <w:top w:w="72" w:type="dxa"/>
              <w:left w:w="144" w:type="dxa"/>
              <w:bottom w:w="72" w:type="dxa"/>
              <w:right w:w="144" w:type="dxa"/>
            </w:tcMar>
            <w:vAlign w:val="center"/>
            <w:hideMark/>
          </w:tcPr>
          <w:p w14:paraId="27F74DC3" w14:textId="77777777" w:rsidR="00524BF9" w:rsidRPr="00860000" w:rsidRDefault="00524BF9" w:rsidP="00524BF9">
            <w:pPr>
              <w:spacing w:after="0"/>
              <w:rPr>
                <w:sz w:val="21"/>
                <w:szCs w:val="21"/>
              </w:rPr>
            </w:pPr>
            <w:r>
              <w:rPr>
                <w:sz w:val="21"/>
                <w:szCs w:val="21"/>
              </w:rPr>
              <w:t>As of May 4</w:t>
            </w:r>
            <w:r w:rsidRPr="00860000">
              <w:rPr>
                <w:sz w:val="21"/>
                <w:szCs w:val="21"/>
              </w:rPr>
              <w:t xml:space="preserve">, 2020, the CDC is not recommending that these workers self-quarantine after an exposure if they are not experiencing COVID-19 symptoms. </w:t>
            </w:r>
            <w:hyperlink r:id="rId11" w:history="1">
              <w:r w:rsidRPr="00B41B48">
                <w:rPr>
                  <w:rStyle w:val="Hyperlink"/>
                  <w:sz w:val="21"/>
                  <w:szCs w:val="21"/>
                </w:rPr>
                <w:t>All workers should wear appropriate PPE, and self-monitor for symptoms.</w:t>
              </w:r>
            </w:hyperlink>
            <w:r w:rsidRPr="00860000">
              <w:rPr>
                <w:sz w:val="21"/>
                <w:szCs w:val="21"/>
              </w:rPr>
              <w:t xml:space="preserve"> </w:t>
            </w:r>
          </w:p>
        </w:tc>
        <w:tc>
          <w:tcPr>
            <w:tcW w:w="2160" w:type="dxa"/>
            <w:vMerge w:val="restart"/>
            <w:shd w:val="clear" w:color="auto" w:fill="auto"/>
            <w:tcMar>
              <w:top w:w="72" w:type="dxa"/>
              <w:left w:w="144" w:type="dxa"/>
              <w:bottom w:w="72" w:type="dxa"/>
              <w:right w:w="144" w:type="dxa"/>
            </w:tcMar>
            <w:vAlign w:val="center"/>
            <w:hideMark/>
          </w:tcPr>
          <w:p w14:paraId="556F01F0" w14:textId="77777777" w:rsidR="00524BF9" w:rsidRPr="00860000" w:rsidRDefault="00524BF9" w:rsidP="00524BF9">
            <w:pPr>
              <w:spacing w:after="0"/>
              <w:rPr>
                <w:rFonts w:cstheme="minorHAnsi"/>
                <w:sz w:val="21"/>
                <w:szCs w:val="21"/>
              </w:rPr>
            </w:pPr>
          </w:p>
          <w:p w14:paraId="1EAA34B3" w14:textId="77777777" w:rsidR="00524BF9" w:rsidRPr="00860000" w:rsidRDefault="00524BF9" w:rsidP="00524BF9">
            <w:pPr>
              <w:spacing w:after="0"/>
              <w:rPr>
                <w:rFonts w:cstheme="minorHAnsi"/>
                <w:b/>
                <w:sz w:val="21"/>
                <w:szCs w:val="21"/>
              </w:rPr>
            </w:pPr>
            <w:r w:rsidRPr="00860000">
              <w:rPr>
                <w:rFonts w:cstheme="minorHAnsi"/>
                <w:sz w:val="21"/>
                <w:szCs w:val="21"/>
              </w:rPr>
              <w:t xml:space="preserve">You have tested positive for COVID-19 </w:t>
            </w:r>
            <w:r w:rsidRPr="00860000">
              <w:rPr>
                <w:rFonts w:cstheme="minorHAnsi"/>
                <w:b/>
                <w:sz w:val="21"/>
                <w:szCs w:val="21"/>
              </w:rPr>
              <w:t xml:space="preserve">OR </w:t>
            </w:r>
          </w:p>
          <w:p w14:paraId="02B468B5" w14:textId="77777777" w:rsidR="00524BF9" w:rsidRPr="00860000" w:rsidRDefault="00524BF9" w:rsidP="00524BF9">
            <w:pPr>
              <w:spacing w:after="0"/>
              <w:rPr>
                <w:rFonts w:cstheme="minorHAnsi"/>
                <w:b/>
                <w:sz w:val="21"/>
                <w:szCs w:val="21"/>
              </w:rPr>
            </w:pPr>
            <w:r w:rsidRPr="00860000">
              <w:rPr>
                <w:rFonts w:cstheme="minorHAnsi"/>
                <w:sz w:val="21"/>
                <w:szCs w:val="21"/>
              </w:rPr>
              <w:t>you have symptoms of COVID-19</w:t>
            </w:r>
          </w:p>
        </w:tc>
        <w:tc>
          <w:tcPr>
            <w:tcW w:w="8784" w:type="dxa"/>
            <w:vMerge w:val="restart"/>
            <w:shd w:val="clear" w:color="auto" w:fill="auto"/>
            <w:tcMar>
              <w:top w:w="72" w:type="dxa"/>
              <w:left w:w="144" w:type="dxa"/>
              <w:bottom w:w="72" w:type="dxa"/>
              <w:right w:w="144" w:type="dxa"/>
            </w:tcMar>
            <w:vAlign w:val="center"/>
            <w:hideMark/>
          </w:tcPr>
          <w:p w14:paraId="5E21ABA3" w14:textId="77777777" w:rsidR="00524BF9" w:rsidRPr="00DF4A6A" w:rsidRDefault="00524BF9" w:rsidP="00524BF9">
            <w:pPr>
              <w:spacing w:after="0"/>
              <w:rPr>
                <w:b/>
                <w:bCs/>
                <w:i/>
                <w:iCs/>
              </w:rPr>
            </w:pPr>
            <w:r w:rsidRPr="00DF4A6A">
              <w:rPr>
                <w:b/>
                <w:bCs/>
                <w:i/>
                <w:iCs/>
              </w:rPr>
              <w:t>Symptomatic</w:t>
            </w:r>
          </w:p>
          <w:p w14:paraId="4CC27BC9" w14:textId="77777777" w:rsidR="00524BF9" w:rsidRPr="00F41EAA" w:rsidRDefault="00524BF9" w:rsidP="00524BF9">
            <w:pPr>
              <w:spacing w:after="0"/>
              <w:rPr>
                <w:b/>
                <w:bCs/>
                <w:sz w:val="8"/>
                <w:szCs w:val="8"/>
              </w:rPr>
            </w:pPr>
          </w:p>
          <w:p w14:paraId="5C13AA41" w14:textId="77777777" w:rsidR="00524BF9" w:rsidRPr="00F41EAA" w:rsidRDefault="00524BF9" w:rsidP="00524BF9">
            <w:pPr>
              <w:pStyle w:val="NormalWeb"/>
              <w:numPr>
                <w:ilvl w:val="0"/>
                <w:numId w:val="5"/>
              </w:numPr>
              <w:spacing w:before="0" w:beforeAutospacing="0" w:after="0" w:afterAutospacing="0"/>
              <w:rPr>
                <w:rStyle w:val="Strong"/>
                <w:rFonts w:asciiTheme="minorHAnsi" w:hAnsiTheme="minorHAnsi" w:cstheme="minorHAnsi"/>
                <w:b w:val="0"/>
                <w:bCs w:val="0"/>
                <w:color w:val="1F497D" w:themeColor="text2"/>
                <w:sz w:val="22"/>
                <w:szCs w:val="22"/>
              </w:rPr>
            </w:pPr>
            <w:r w:rsidRPr="00DF4A6A">
              <w:rPr>
                <w:rStyle w:val="Strong"/>
                <w:rFonts w:asciiTheme="minorHAnsi" w:hAnsiTheme="minorHAnsi" w:cstheme="minorHAnsi"/>
                <w:color w:val="1F497D" w:themeColor="text2"/>
                <w:sz w:val="22"/>
                <w:szCs w:val="22"/>
              </w:rPr>
              <w:t>Symptom-based strategy</w:t>
            </w:r>
          </w:p>
          <w:p w14:paraId="79777074" w14:textId="77777777" w:rsidR="00524BF9" w:rsidRPr="00F41EAA" w:rsidRDefault="00524BF9" w:rsidP="00524BF9">
            <w:pPr>
              <w:pStyle w:val="NormalWeb"/>
              <w:spacing w:before="0" w:beforeAutospacing="0" w:after="0" w:afterAutospacing="0"/>
              <w:ind w:left="360"/>
              <w:rPr>
                <w:rStyle w:val="Strong"/>
                <w:rFonts w:asciiTheme="minorHAnsi" w:hAnsiTheme="minorHAnsi" w:cstheme="minorHAnsi"/>
                <w:b w:val="0"/>
                <w:bCs w:val="0"/>
                <w:color w:val="1F497D" w:themeColor="text2"/>
                <w:sz w:val="8"/>
                <w:szCs w:val="8"/>
              </w:rPr>
            </w:pPr>
          </w:p>
          <w:p w14:paraId="7622011B" w14:textId="77777777" w:rsidR="00524BF9" w:rsidRPr="00DF4A6A" w:rsidRDefault="00524BF9" w:rsidP="00524BF9">
            <w:pPr>
              <w:numPr>
                <w:ilvl w:val="0"/>
                <w:numId w:val="11"/>
              </w:numPr>
              <w:spacing w:line="240" w:lineRule="auto"/>
              <w:rPr>
                <w:rStyle w:val="Strong"/>
                <w:rFonts w:cstheme="minorHAnsi"/>
                <w:b w:val="0"/>
                <w:bCs w:val="0"/>
                <w:color w:val="000000"/>
              </w:rPr>
            </w:pPr>
            <w:r w:rsidRPr="00DF4A6A">
              <w:rPr>
                <w:rFonts w:cstheme="minorHAnsi"/>
                <w:color w:val="000000"/>
              </w:rPr>
              <w:t xml:space="preserve">At least 3 days (72 hours) have passed </w:t>
            </w:r>
            <w:r w:rsidRPr="00DF4A6A">
              <w:rPr>
                <w:rStyle w:val="Emphasis"/>
                <w:rFonts w:cstheme="minorHAnsi"/>
                <w:color w:val="000000"/>
              </w:rPr>
              <w:t>since recovery</w:t>
            </w:r>
            <w:r w:rsidRPr="00DF4A6A">
              <w:rPr>
                <w:rFonts w:cstheme="minorHAnsi"/>
                <w:color w:val="000000"/>
              </w:rPr>
              <w:t xml:space="preserve"> defined as resolution of fever without the use of fever-reducing medications </w:t>
            </w:r>
            <w:r w:rsidRPr="00DF4A6A">
              <w:rPr>
                <w:rStyle w:val="Strong"/>
                <w:rFonts w:cstheme="minorHAnsi"/>
                <w:color w:val="000000"/>
              </w:rPr>
              <w:t>and</w:t>
            </w:r>
          </w:p>
          <w:p w14:paraId="11916977" w14:textId="77777777" w:rsidR="00524BF9" w:rsidRPr="00DF4A6A" w:rsidRDefault="00524BF9" w:rsidP="00524BF9">
            <w:pPr>
              <w:numPr>
                <w:ilvl w:val="0"/>
                <w:numId w:val="11"/>
              </w:numPr>
              <w:spacing w:before="100" w:beforeAutospacing="1" w:line="240" w:lineRule="auto"/>
              <w:rPr>
                <w:rFonts w:cstheme="minorHAnsi"/>
                <w:color w:val="000000"/>
              </w:rPr>
            </w:pPr>
            <w:r w:rsidRPr="00DF4A6A">
              <w:rPr>
                <w:rFonts w:cstheme="minorHAnsi"/>
                <w:color w:val="000000"/>
              </w:rPr>
              <w:t xml:space="preserve">Improvement in respiratory symptoms (e.g., cough, shortness of breath); </w:t>
            </w:r>
            <w:r w:rsidRPr="00DF4A6A">
              <w:rPr>
                <w:rStyle w:val="Strong"/>
                <w:rFonts w:cstheme="minorHAnsi"/>
                <w:color w:val="000000"/>
              </w:rPr>
              <w:t>and,</w:t>
            </w:r>
          </w:p>
          <w:p w14:paraId="1287A910" w14:textId="77777777" w:rsidR="00524BF9" w:rsidRPr="00DF4A6A" w:rsidRDefault="00524BF9" w:rsidP="00524BF9">
            <w:pPr>
              <w:numPr>
                <w:ilvl w:val="0"/>
                <w:numId w:val="11"/>
              </w:numPr>
              <w:spacing w:before="100" w:beforeAutospacing="1" w:line="240" w:lineRule="auto"/>
              <w:rPr>
                <w:rFonts w:cstheme="minorHAnsi"/>
                <w:color w:val="000000"/>
              </w:rPr>
            </w:pPr>
            <w:r w:rsidRPr="00DF4A6A">
              <w:rPr>
                <w:rFonts w:cstheme="minorHAnsi"/>
                <w:color w:val="000000"/>
              </w:rPr>
              <w:t xml:space="preserve">At least 10 days have passed </w:t>
            </w:r>
            <w:r w:rsidRPr="00DF4A6A">
              <w:rPr>
                <w:rStyle w:val="Emphasis"/>
                <w:rFonts w:cstheme="minorHAnsi"/>
                <w:color w:val="000000"/>
              </w:rPr>
              <w:t>since symptoms first appeared</w:t>
            </w:r>
            <w:r w:rsidRPr="00DF4A6A">
              <w:rPr>
                <w:rFonts w:cstheme="minorHAnsi"/>
                <w:color w:val="000000"/>
              </w:rPr>
              <w:t>.</w:t>
            </w:r>
          </w:p>
          <w:p w14:paraId="796D9271" w14:textId="77777777" w:rsidR="00524BF9" w:rsidRDefault="00524BF9" w:rsidP="00524BF9">
            <w:pPr>
              <w:pStyle w:val="NormalWeb"/>
              <w:numPr>
                <w:ilvl w:val="0"/>
                <w:numId w:val="5"/>
              </w:numPr>
              <w:spacing w:before="0" w:beforeAutospacing="0" w:after="0" w:afterAutospacing="0"/>
              <w:rPr>
                <w:rFonts w:asciiTheme="minorHAnsi" w:hAnsiTheme="minorHAnsi" w:cstheme="minorHAnsi"/>
                <w:color w:val="1F497D" w:themeColor="text2"/>
                <w:sz w:val="22"/>
                <w:szCs w:val="22"/>
              </w:rPr>
            </w:pPr>
            <w:r w:rsidRPr="00DF4A6A">
              <w:rPr>
                <w:rStyle w:val="Strong"/>
                <w:rFonts w:asciiTheme="minorHAnsi" w:hAnsiTheme="minorHAnsi" w:cstheme="minorHAnsi"/>
                <w:color w:val="1F497D" w:themeColor="text2"/>
                <w:sz w:val="22"/>
                <w:szCs w:val="22"/>
              </w:rPr>
              <w:t xml:space="preserve"> Test-based strategy:</w:t>
            </w:r>
            <w:r w:rsidRPr="00DF4A6A">
              <w:rPr>
                <w:rFonts w:asciiTheme="minorHAnsi" w:hAnsiTheme="minorHAnsi" w:cstheme="minorHAnsi"/>
                <w:color w:val="1F497D" w:themeColor="text2"/>
                <w:sz w:val="22"/>
                <w:szCs w:val="22"/>
              </w:rPr>
              <w:t xml:space="preserve"> </w:t>
            </w:r>
          </w:p>
          <w:p w14:paraId="7B97EBC3" w14:textId="77777777" w:rsidR="00524BF9" w:rsidRPr="00F41EAA" w:rsidRDefault="00524BF9" w:rsidP="00524BF9">
            <w:pPr>
              <w:pStyle w:val="NormalWeb"/>
              <w:spacing w:before="0" w:beforeAutospacing="0" w:after="0" w:afterAutospacing="0"/>
              <w:ind w:left="360"/>
              <w:rPr>
                <w:rFonts w:asciiTheme="minorHAnsi" w:hAnsiTheme="minorHAnsi" w:cstheme="minorHAnsi"/>
                <w:color w:val="1F497D" w:themeColor="text2"/>
                <w:sz w:val="8"/>
                <w:szCs w:val="8"/>
              </w:rPr>
            </w:pPr>
          </w:p>
          <w:p w14:paraId="0E3C9BA4" w14:textId="77777777" w:rsidR="00524BF9" w:rsidRPr="00DF4A6A" w:rsidRDefault="00524BF9" w:rsidP="00524BF9">
            <w:pPr>
              <w:numPr>
                <w:ilvl w:val="0"/>
                <w:numId w:val="12"/>
              </w:numPr>
              <w:spacing w:line="240" w:lineRule="auto"/>
              <w:rPr>
                <w:rFonts w:cstheme="minorHAnsi"/>
                <w:color w:val="000000"/>
              </w:rPr>
            </w:pPr>
            <w:r w:rsidRPr="00DF4A6A">
              <w:rPr>
                <w:rFonts w:cstheme="minorHAnsi"/>
                <w:color w:val="000000"/>
              </w:rPr>
              <w:t xml:space="preserve">Resolution of fever </w:t>
            </w:r>
            <w:r w:rsidRPr="00DF4A6A">
              <w:rPr>
                <w:rStyle w:val="Strong"/>
                <w:rFonts w:cstheme="minorHAnsi"/>
                <w:color w:val="000000"/>
              </w:rPr>
              <w:t>without</w:t>
            </w:r>
            <w:r w:rsidRPr="00DF4A6A">
              <w:rPr>
                <w:rFonts w:cstheme="minorHAnsi"/>
                <w:color w:val="000000"/>
              </w:rPr>
              <w:t xml:space="preserve"> the use of fever-reducing medications </w:t>
            </w:r>
            <w:r w:rsidRPr="00DF4A6A">
              <w:rPr>
                <w:rStyle w:val="Strong"/>
                <w:rFonts w:cstheme="minorHAnsi"/>
                <w:color w:val="000000"/>
              </w:rPr>
              <w:t>and</w:t>
            </w:r>
          </w:p>
          <w:p w14:paraId="462BA989" w14:textId="77777777" w:rsidR="00524BF9" w:rsidRPr="00DF4A6A" w:rsidRDefault="00524BF9" w:rsidP="00524BF9">
            <w:pPr>
              <w:numPr>
                <w:ilvl w:val="0"/>
                <w:numId w:val="12"/>
              </w:numPr>
              <w:spacing w:before="100" w:beforeAutospacing="1" w:line="240" w:lineRule="auto"/>
              <w:rPr>
                <w:rFonts w:cstheme="minorHAnsi"/>
                <w:color w:val="000000"/>
              </w:rPr>
            </w:pPr>
            <w:r w:rsidRPr="00DF4A6A">
              <w:rPr>
                <w:rFonts w:cstheme="minorHAnsi"/>
                <w:color w:val="000000"/>
              </w:rPr>
              <w:t xml:space="preserve">Improvement in respiratory symptoms (e.g., cough, shortness of breath), </w:t>
            </w:r>
            <w:r w:rsidRPr="00DF4A6A">
              <w:rPr>
                <w:rStyle w:val="Strong"/>
                <w:rFonts w:cstheme="minorHAnsi"/>
                <w:color w:val="000000"/>
              </w:rPr>
              <w:t>and</w:t>
            </w:r>
          </w:p>
          <w:p w14:paraId="1413C723" w14:textId="77777777" w:rsidR="00524BF9" w:rsidRPr="00DF4A6A" w:rsidRDefault="00524BF9" w:rsidP="00524BF9">
            <w:pPr>
              <w:numPr>
                <w:ilvl w:val="0"/>
                <w:numId w:val="12"/>
              </w:numPr>
              <w:spacing w:before="100" w:beforeAutospacing="1" w:line="240" w:lineRule="auto"/>
              <w:rPr>
                <w:rFonts w:cstheme="minorHAnsi"/>
                <w:color w:val="000000"/>
              </w:rPr>
            </w:pPr>
            <w:r w:rsidRPr="00DF4A6A">
              <w:rPr>
                <w:rFonts w:cstheme="minorHAnsi"/>
                <w:color w:val="000000"/>
              </w:rPr>
              <w:t>Negative results of two consecutive respiratory specimens collected ≥24 hours apart</w:t>
            </w:r>
          </w:p>
          <w:p w14:paraId="55CB3F70" w14:textId="77777777" w:rsidR="00524BF9" w:rsidRDefault="00524BF9" w:rsidP="00524BF9">
            <w:pPr>
              <w:spacing w:before="100" w:beforeAutospacing="1" w:after="0" w:line="240" w:lineRule="auto"/>
              <w:rPr>
                <w:b/>
                <w:bCs/>
                <w:i/>
                <w:iCs/>
                <w:color w:val="000000"/>
              </w:rPr>
            </w:pPr>
            <w:r w:rsidRPr="00DF4A6A">
              <w:rPr>
                <w:rFonts w:cstheme="minorHAnsi"/>
                <w:b/>
                <w:bCs/>
                <w:i/>
                <w:iCs/>
                <w:color w:val="000000"/>
              </w:rPr>
              <w:t>A</w:t>
            </w:r>
            <w:r w:rsidRPr="00DF4A6A">
              <w:rPr>
                <w:b/>
                <w:bCs/>
                <w:i/>
                <w:iCs/>
                <w:color w:val="000000"/>
              </w:rPr>
              <w:t>symptomatic</w:t>
            </w:r>
          </w:p>
          <w:p w14:paraId="714D8E97" w14:textId="77777777" w:rsidR="00524BF9" w:rsidRPr="00F41EAA" w:rsidRDefault="00524BF9" w:rsidP="00524BF9">
            <w:pPr>
              <w:spacing w:after="0" w:line="240" w:lineRule="auto"/>
              <w:rPr>
                <w:rFonts w:cstheme="minorHAnsi"/>
                <w:b/>
                <w:bCs/>
                <w:i/>
                <w:iCs/>
                <w:color w:val="000000"/>
                <w:sz w:val="8"/>
                <w:szCs w:val="8"/>
              </w:rPr>
            </w:pPr>
          </w:p>
          <w:p w14:paraId="47642E11" w14:textId="77777777" w:rsidR="00524BF9" w:rsidRPr="00DF4A6A" w:rsidRDefault="00524BF9" w:rsidP="00524BF9">
            <w:pPr>
              <w:pStyle w:val="NormalWeb"/>
              <w:numPr>
                <w:ilvl w:val="0"/>
                <w:numId w:val="14"/>
              </w:numPr>
              <w:spacing w:before="0" w:beforeAutospacing="0" w:after="0" w:afterAutospacing="0"/>
              <w:rPr>
                <w:rFonts w:asciiTheme="minorHAnsi" w:hAnsiTheme="minorHAnsi" w:cstheme="minorHAnsi"/>
                <w:sz w:val="22"/>
                <w:szCs w:val="22"/>
              </w:rPr>
            </w:pPr>
            <w:r w:rsidRPr="00DF4A6A">
              <w:rPr>
                <w:rStyle w:val="Strong"/>
                <w:rFonts w:asciiTheme="minorHAnsi" w:hAnsiTheme="minorHAnsi" w:cstheme="minorHAnsi"/>
                <w:color w:val="1F497D" w:themeColor="text2"/>
                <w:sz w:val="22"/>
                <w:szCs w:val="22"/>
              </w:rPr>
              <w:t>Time-based strategy</w:t>
            </w:r>
            <w:r w:rsidRPr="00DF4A6A">
              <w:rPr>
                <w:rStyle w:val="Strong"/>
                <w:rFonts w:asciiTheme="minorHAnsi" w:hAnsiTheme="minorHAnsi" w:cstheme="minorHAnsi"/>
                <w:sz w:val="22"/>
                <w:szCs w:val="22"/>
              </w:rPr>
              <w:t xml:space="preserve">: </w:t>
            </w:r>
            <w:r w:rsidRPr="00DF4A6A">
              <w:rPr>
                <w:rFonts w:asciiTheme="minorHAnsi" w:hAnsiTheme="minorHAnsi" w:cstheme="minorHAnsi"/>
                <w:sz w:val="22"/>
                <w:szCs w:val="22"/>
              </w:rPr>
              <w:t xml:space="preserve">At least </w:t>
            </w:r>
            <w:r w:rsidRPr="00DF4A6A">
              <w:rPr>
                <w:rFonts w:asciiTheme="minorHAnsi" w:hAnsiTheme="minorHAnsi" w:cstheme="minorHAnsi"/>
                <w:b/>
                <w:bCs/>
                <w:sz w:val="22"/>
                <w:szCs w:val="22"/>
              </w:rPr>
              <w:t xml:space="preserve">10 days have passed </w:t>
            </w:r>
            <w:r w:rsidRPr="00DF4A6A">
              <w:rPr>
                <w:rFonts w:asciiTheme="minorHAnsi" w:hAnsiTheme="minorHAnsi" w:cstheme="minorHAnsi"/>
                <w:sz w:val="22"/>
                <w:szCs w:val="22"/>
              </w:rPr>
              <w:t xml:space="preserve">since the date of their first positive COVID-19 diagnostic test assuming they have </w:t>
            </w:r>
            <w:r w:rsidRPr="00DF4A6A">
              <w:rPr>
                <w:rFonts w:asciiTheme="minorHAnsi" w:hAnsiTheme="minorHAnsi" w:cstheme="minorHAnsi"/>
                <w:b/>
                <w:bCs/>
                <w:sz w:val="22"/>
                <w:szCs w:val="22"/>
              </w:rPr>
              <w:t>not subsequently developed symptoms</w:t>
            </w:r>
            <w:r w:rsidRPr="00DF4A6A">
              <w:rPr>
                <w:rFonts w:asciiTheme="minorHAnsi" w:hAnsiTheme="minorHAnsi" w:cstheme="minorHAnsi"/>
                <w:sz w:val="22"/>
                <w:szCs w:val="22"/>
              </w:rPr>
              <w:t xml:space="preserve"> since their positive test. </w:t>
            </w:r>
          </w:p>
          <w:p w14:paraId="69481BB7" w14:textId="77777777" w:rsidR="00524BF9" w:rsidRPr="00DF4A6A" w:rsidRDefault="00524BF9" w:rsidP="00524BF9">
            <w:pPr>
              <w:pStyle w:val="NormalWeb"/>
              <w:spacing w:before="0" w:beforeAutospacing="0" w:after="0" w:afterAutospacing="0"/>
              <w:ind w:left="360"/>
              <w:rPr>
                <w:rFonts w:asciiTheme="minorHAnsi" w:hAnsiTheme="minorHAnsi" w:cstheme="minorHAnsi"/>
                <w:sz w:val="22"/>
                <w:szCs w:val="22"/>
              </w:rPr>
            </w:pPr>
          </w:p>
          <w:p w14:paraId="0E5C17A5" w14:textId="77777777" w:rsidR="00524BF9" w:rsidRPr="00DF4A6A" w:rsidRDefault="00524BF9" w:rsidP="00524BF9">
            <w:pPr>
              <w:pStyle w:val="ListParagraph"/>
              <w:numPr>
                <w:ilvl w:val="0"/>
                <w:numId w:val="14"/>
              </w:numPr>
              <w:spacing w:after="100" w:afterAutospacing="1" w:line="240" w:lineRule="auto"/>
              <w:rPr>
                <w:rFonts w:cstheme="minorHAnsi"/>
                <w:color w:val="000000"/>
              </w:rPr>
            </w:pPr>
            <w:r w:rsidRPr="00DF4A6A">
              <w:rPr>
                <w:rStyle w:val="Strong"/>
                <w:rFonts w:cstheme="minorHAnsi"/>
                <w:color w:val="1F497D" w:themeColor="text2"/>
              </w:rPr>
              <w:t>Test-based strategy</w:t>
            </w:r>
            <w:r w:rsidRPr="00DF4A6A">
              <w:rPr>
                <w:rStyle w:val="Strong"/>
                <w:rFonts w:cstheme="minorHAnsi"/>
              </w:rPr>
              <w:t xml:space="preserve">: </w:t>
            </w:r>
            <w:r w:rsidRPr="00DF4A6A">
              <w:rPr>
                <w:rFonts w:cstheme="minorHAnsi"/>
                <w:color w:val="000000"/>
              </w:rPr>
              <w:t>Negative results of two consecutive respiratory specimens collected ≥24 hours apart</w:t>
            </w:r>
          </w:p>
          <w:p w14:paraId="7E03D873" w14:textId="77777777" w:rsidR="00524BF9" w:rsidRPr="00DF4A6A" w:rsidRDefault="00524BF9" w:rsidP="00524BF9">
            <w:pPr>
              <w:spacing w:after="100" w:afterAutospacing="1" w:line="240" w:lineRule="auto"/>
              <w:rPr>
                <w:rFonts w:cstheme="minorHAnsi"/>
                <w:i/>
                <w:iCs/>
                <w:color w:val="000000"/>
              </w:rPr>
            </w:pPr>
            <w:r w:rsidRPr="00DF4A6A">
              <w:rPr>
                <w:rFonts w:cstheme="minorHAnsi"/>
                <w:i/>
                <w:iCs/>
                <w:color w:val="000000"/>
              </w:rPr>
              <w:t>*</w:t>
            </w:r>
            <w:r w:rsidRPr="00DF4A6A">
              <w:rPr>
                <w:i/>
                <w:iCs/>
                <w:color w:val="000000"/>
              </w:rPr>
              <w:t>A positive test does not necessarily correlate with the person’s ability to transmit the disease</w:t>
            </w:r>
          </w:p>
        </w:tc>
      </w:tr>
      <w:tr w:rsidR="00524BF9" w:rsidRPr="0010083B" w14:paraId="57447BF3" w14:textId="77777777" w:rsidTr="007B1AE0">
        <w:trPr>
          <w:trHeight w:val="1595"/>
        </w:trPr>
        <w:tc>
          <w:tcPr>
            <w:tcW w:w="1344" w:type="dxa"/>
            <w:shd w:val="clear" w:color="auto" w:fill="DCE6F2"/>
            <w:tcMar>
              <w:top w:w="72" w:type="dxa"/>
              <w:left w:w="144" w:type="dxa"/>
              <w:bottom w:w="72" w:type="dxa"/>
              <w:right w:w="144" w:type="dxa"/>
            </w:tcMar>
            <w:vAlign w:val="center"/>
            <w:hideMark/>
          </w:tcPr>
          <w:p w14:paraId="5F756C7C" w14:textId="77777777" w:rsidR="00524BF9" w:rsidRPr="00C540A2" w:rsidRDefault="00524BF9" w:rsidP="00524BF9">
            <w:pPr>
              <w:spacing w:after="0"/>
              <w:jc w:val="center"/>
            </w:pPr>
            <w:r w:rsidRPr="00C540A2">
              <w:rPr>
                <w:b/>
                <w:bCs/>
                <w:i/>
                <w:iCs/>
              </w:rPr>
              <w:t>First Responders</w:t>
            </w:r>
          </w:p>
        </w:tc>
        <w:tc>
          <w:tcPr>
            <w:tcW w:w="2580" w:type="dxa"/>
            <w:vMerge/>
            <w:shd w:val="clear" w:color="auto" w:fill="auto"/>
            <w:tcMar>
              <w:top w:w="72" w:type="dxa"/>
              <w:left w:w="144" w:type="dxa"/>
              <w:bottom w:w="72" w:type="dxa"/>
              <w:right w:w="144" w:type="dxa"/>
            </w:tcMar>
            <w:vAlign w:val="center"/>
          </w:tcPr>
          <w:p w14:paraId="36CFC928" w14:textId="77777777" w:rsidR="00524BF9" w:rsidRPr="00860000" w:rsidRDefault="00524BF9" w:rsidP="00524BF9">
            <w:pPr>
              <w:spacing w:after="0"/>
              <w:jc w:val="center"/>
              <w:rPr>
                <w:sz w:val="21"/>
                <w:szCs w:val="21"/>
              </w:rPr>
            </w:pPr>
          </w:p>
        </w:tc>
        <w:tc>
          <w:tcPr>
            <w:tcW w:w="2160" w:type="dxa"/>
            <w:vMerge/>
            <w:shd w:val="clear" w:color="auto" w:fill="auto"/>
            <w:tcMar>
              <w:top w:w="72" w:type="dxa"/>
              <w:left w:w="144" w:type="dxa"/>
              <w:bottom w:w="72" w:type="dxa"/>
              <w:right w:w="144" w:type="dxa"/>
            </w:tcMar>
            <w:vAlign w:val="center"/>
          </w:tcPr>
          <w:p w14:paraId="5C64E3E3" w14:textId="77777777" w:rsidR="00524BF9" w:rsidRPr="00860000" w:rsidRDefault="00524BF9" w:rsidP="00524BF9">
            <w:pPr>
              <w:pStyle w:val="ListParagraph"/>
              <w:numPr>
                <w:ilvl w:val="0"/>
                <w:numId w:val="7"/>
              </w:numPr>
              <w:spacing w:after="0"/>
              <w:rPr>
                <w:sz w:val="21"/>
                <w:szCs w:val="21"/>
              </w:rPr>
            </w:pPr>
          </w:p>
        </w:tc>
        <w:tc>
          <w:tcPr>
            <w:tcW w:w="8784" w:type="dxa"/>
            <w:vMerge/>
            <w:shd w:val="clear" w:color="auto" w:fill="auto"/>
            <w:tcMar>
              <w:top w:w="72" w:type="dxa"/>
              <w:left w:w="144" w:type="dxa"/>
              <w:bottom w:w="72" w:type="dxa"/>
              <w:right w:w="144" w:type="dxa"/>
            </w:tcMar>
            <w:vAlign w:val="center"/>
            <w:hideMark/>
          </w:tcPr>
          <w:p w14:paraId="25876BEF" w14:textId="77777777" w:rsidR="00524BF9" w:rsidRPr="00860000" w:rsidRDefault="00524BF9" w:rsidP="00524BF9">
            <w:pPr>
              <w:spacing w:before="100" w:beforeAutospacing="1" w:after="0" w:line="240" w:lineRule="auto"/>
              <w:rPr>
                <w:sz w:val="21"/>
                <w:szCs w:val="21"/>
              </w:rPr>
            </w:pPr>
          </w:p>
        </w:tc>
      </w:tr>
      <w:tr w:rsidR="00524BF9" w:rsidRPr="0010083B" w14:paraId="53E73F4A" w14:textId="77777777" w:rsidTr="007B1AE0">
        <w:trPr>
          <w:trHeight w:val="1594"/>
        </w:trPr>
        <w:tc>
          <w:tcPr>
            <w:tcW w:w="1344" w:type="dxa"/>
            <w:shd w:val="clear" w:color="auto" w:fill="DCE6F2"/>
            <w:tcMar>
              <w:top w:w="72" w:type="dxa"/>
              <w:left w:w="144" w:type="dxa"/>
              <w:bottom w:w="72" w:type="dxa"/>
              <w:right w:w="144" w:type="dxa"/>
            </w:tcMar>
            <w:vAlign w:val="center"/>
            <w:hideMark/>
          </w:tcPr>
          <w:p w14:paraId="79540818" w14:textId="77777777" w:rsidR="00524BF9" w:rsidRPr="00C540A2" w:rsidRDefault="00524BF9" w:rsidP="00524BF9">
            <w:pPr>
              <w:spacing w:after="0"/>
              <w:jc w:val="center"/>
            </w:pPr>
            <w:r>
              <w:rPr>
                <w:b/>
                <w:bCs/>
                <w:i/>
                <w:iCs/>
              </w:rPr>
              <w:t>Essential Workers</w:t>
            </w:r>
          </w:p>
        </w:tc>
        <w:tc>
          <w:tcPr>
            <w:tcW w:w="2580" w:type="dxa"/>
            <w:vMerge/>
            <w:shd w:val="clear" w:color="auto" w:fill="auto"/>
            <w:tcMar>
              <w:top w:w="72" w:type="dxa"/>
              <w:left w:w="144" w:type="dxa"/>
              <w:bottom w:w="72" w:type="dxa"/>
              <w:right w:w="144" w:type="dxa"/>
            </w:tcMar>
            <w:vAlign w:val="center"/>
            <w:hideMark/>
          </w:tcPr>
          <w:p w14:paraId="27C7735C" w14:textId="77777777" w:rsidR="00524BF9" w:rsidRPr="0010083B" w:rsidRDefault="00524BF9" w:rsidP="00524BF9">
            <w:pPr>
              <w:spacing w:after="0"/>
              <w:jc w:val="center"/>
              <w:rPr>
                <w:sz w:val="18"/>
                <w:szCs w:val="18"/>
              </w:rPr>
            </w:pPr>
          </w:p>
        </w:tc>
        <w:tc>
          <w:tcPr>
            <w:tcW w:w="2160" w:type="dxa"/>
            <w:vMerge/>
            <w:shd w:val="clear" w:color="auto" w:fill="auto"/>
            <w:tcMar>
              <w:top w:w="72" w:type="dxa"/>
              <w:left w:w="144" w:type="dxa"/>
              <w:bottom w:w="72" w:type="dxa"/>
              <w:right w:w="144" w:type="dxa"/>
            </w:tcMar>
            <w:vAlign w:val="center"/>
            <w:hideMark/>
          </w:tcPr>
          <w:p w14:paraId="29A166F7" w14:textId="77777777" w:rsidR="00524BF9" w:rsidRPr="0010083B" w:rsidRDefault="00524BF9" w:rsidP="00524BF9">
            <w:pPr>
              <w:pStyle w:val="ListParagraph"/>
              <w:numPr>
                <w:ilvl w:val="0"/>
                <w:numId w:val="7"/>
              </w:numPr>
              <w:spacing w:after="0"/>
              <w:rPr>
                <w:sz w:val="18"/>
                <w:szCs w:val="18"/>
              </w:rPr>
            </w:pPr>
          </w:p>
        </w:tc>
        <w:tc>
          <w:tcPr>
            <w:tcW w:w="8784" w:type="dxa"/>
            <w:vMerge/>
            <w:shd w:val="clear" w:color="auto" w:fill="auto"/>
            <w:tcMar>
              <w:top w:w="72" w:type="dxa"/>
              <w:left w:w="144" w:type="dxa"/>
              <w:bottom w:w="72" w:type="dxa"/>
              <w:right w:w="144" w:type="dxa"/>
            </w:tcMar>
            <w:vAlign w:val="center"/>
            <w:hideMark/>
          </w:tcPr>
          <w:p w14:paraId="2FF7E3B4" w14:textId="77777777" w:rsidR="00524BF9" w:rsidRPr="0010083B" w:rsidRDefault="00524BF9" w:rsidP="00524BF9">
            <w:pPr>
              <w:numPr>
                <w:ilvl w:val="0"/>
                <w:numId w:val="14"/>
              </w:numPr>
              <w:spacing w:before="100" w:beforeAutospacing="1" w:after="0" w:line="240" w:lineRule="auto"/>
              <w:rPr>
                <w:sz w:val="18"/>
                <w:szCs w:val="18"/>
              </w:rPr>
            </w:pPr>
          </w:p>
        </w:tc>
      </w:tr>
      <w:tr w:rsidR="00524BF9" w:rsidRPr="0010083B" w14:paraId="5D60DA79" w14:textId="77777777" w:rsidTr="007B1AE0">
        <w:trPr>
          <w:trHeight w:val="1595"/>
        </w:trPr>
        <w:tc>
          <w:tcPr>
            <w:tcW w:w="1344" w:type="dxa"/>
            <w:shd w:val="clear" w:color="auto" w:fill="DCE6F2"/>
            <w:tcMar>
              <w:top w:w="72" w:type="dxa"/>
              <w:left w:w="144" w:type="dxa"/>
              <w:bottom w:w="72" w:type="dxa"/>
              <w:right w:w="144" w:type="dxa"/>
            </w:tcMar>
            <w:vAlign w:val="center"/>
            <w:hideMark/>
          </w:tcPr>
          <w:p w14:paraId="6973DDFC" w14:textId="77777777" w:rsidR="00524BF9" w:rsidRPr="00C540A2" w:rsidRDefault="00524BF9" w:rsidP="00524BF9">
            <w:pPr>
              <w:spacing w:after="0"/>
              <w:jc w:val="center"/>
            </w:pPr>
            <w:r w:rsidRPr="00C540A2">
              <w:rPr>
                <w:b/>
                <w:bCs/>
                <w:i/>
                <w:iCs/>
              </w:rPr>
              <w:t>All Other Workers</w:t>
            </w:r>
          </w:p>
        </w:tc>
        <w:tc>
          <w:tcPr>
            <w:tcW w:w="2580" w:type="dxa"/>
            <w:shd w:val="clear" w:color="auto" w:fill="auto"/>
            <w:tcMar>
              <w:top w:w="72" w:type="dxa"/>
              <w:left w:w="144" w:type="dxa"/>
              <w:bottom w:w="72" w:type="dxa"/>
              <w:right w:w="144" w:type="dxa"/>
            </w:tcMar>
            <w:vAlign w:val="center"/>
            <w:hideMark/>
          </w:tcPr>
          <w:p w14:paraId="1D18002A" w14:textId="77777777" w:rsidR="00524BF9" w:rsidRPr="00860000" w:rsidRDefault="00524BF9" w:rsidP="00524BF9">
            <w:pPr>
              <w:spacing w:after="0"/>
              <w:rPr>
                <w:sz w:val="21"/>
                <w:szCs w:val="21"/>
              </w:rPr>
            </w:pPr>
            <w:r w:rsidRPr="00860000">
              <w:rPr>
                <w:sz w:val="21"/>
                <w:szCs w:val="21"/>
              </w:rPr>
              <w:t xml:space="preserve">You have been exposed to someone with COVID-19 </w:t>
            </w:r>
          </w:p>
          <w:p w14:paraId="3CCB0926" w14:textId="77777777" w:rsidR="00524BF9" w:rsidRPr="00860000" w:rsidRDefault="00524BF9" w:rsidP="00524BF9">
            <w:pPr>
              <w:spacing w:after="0"/>
              <w:rPr>
                <w:sz w:val="21"/>
                <w:szCs w:val="21"/>
              </w:rPr>
            </w:pPr>
            <w:r w:rsidRPr="00860000">
              <w:rPr>
                <w:b/>
                <w:bCs/>
                <w:sz w:val="21"/>
                <w:szCs w:val="21"/>
              </w:rPr>
              <w:t>BUT</w:t>
            </w:r>
            <w:r w:rsidRPr="00860000">
              <w:rPr>
                <w:sz w:val="21"/>
                <w:szCs w:val="21"/>
              </w:rPr>
              <w:t xml:space="preserve"> </w:t>
            </w:r>
          </w:p>
          <w:p w14:paraId="542AD1FE" w14:textId="77777777" w:rsidR="00524BF9" w:rsidRPr="0010083B" w:rsidRDefault="00524BF9" w:rsidP="00524BF9">
            <w:pPr>
              <w:spacing w:after="0"/>
              <w:rPr>
                <w:sz w:val="18"/>
                <w:szCs w:val="18"/>
              </w:rPr>
            </w:pPr>
            <w:r w:rsidRPr="00860000">
              <w:rPr>
                <w:sz w:val="21"/>
                <w:szCs w:val="21"/>
              </w:rPr>
              <w:t>you don’t have symptoms</w:t>
            </w:r>
          </w:p>
        </w:tc>
        <w:tc>
          <w:tcPr>
            <w:tcW w:w="2160" w:type="dxa"/>
            <w:vMerge/>
            <w:shd w:val="clear" w:color="auto" w:fill="auto"/>
            <w:tcMar>
              <w:top w:w="72" w:type="dxa"/>
              <w:left w:w="144" w:type="dxa"/>
              <w:bottom w:w="72" w:type="dxa"/>
              <w:right w:w="144" w:type="dxa"/>
            </w:tcMar>
            <w:vAlign w:val="center"/>
            <w:hideMark/>
          </w:tcPr>
          <w:p w14:paraId="09C6D94A" w14:textId="77777777" w:rsidR="00524BF9" w:rsidRPr="0010083B" w:rsidRDefault="00524BF9" w:rsidP="00524BF9">
            <w:pPr>
              <w:pStyle w:val="ListParagraph"/>
              <w:numPr>
                <w:ilvl w:val="0"/>
                <w:numId w:val="7"/>
              </w:numPr>
              <w:spacing w:after="0"/>
              <w:rPr>
                <w:sz w:val="18"/>
                <w:szCs w:val="18"/>
              </w:rPr>
            </w:pPr>
          </w:p>
        </w:tc>
        <w:tc>
          <w:tcPr>
            <w:tcW w:w="8784" w:type="dxa"/>
            <w:vMerge/>
            <w:shd w:val="clear" w:color="auto" w:fill="auto"/>
            <w:tcMar>
              <w:top w:w="72" w:type="dxa"/>
              <w:left w:w="144" w:type="dxa"/>
              <w:bottom w:w="72" w:type="dxa"/>
              <w:right w:w="144" w:type="dxa"/>
            </w:tcMar>
            <w:vAlign w:val="center"/>
            <w:hideMark/>
          </w:tcPr>
          <w:p w14:paraId="2C8AA175" w14:textId="77777777" w:rsidR="00524BF9" w:rsidRPr="0010083B" w:rsidRDefault="00524BF9" w:rsidP="00524BF9">
            <w:pPr>
              <w:numPr>
                <w:ilvl w:val="0"/>
                <w:numId w:val="14"/>
              </w:numPr>
              <w:spacing w:before="100" w:beforeAutospacing="1" w:after="0" w:line="240" w:lineRule="auto"/>
              <w:rPr>
                <w:rFonts w:cstheme="minorHAnsi"/>
                <w:color w:val="000000"/>
                <w:sz w:val="18"/>
                <w:szCs w:val="18"/>
              </w:rPr>
            </w:pPr>
          </w:p>
        </w:tc>
      </w:tr>
    </w:tbl>
    <w:p w14:paraId="15566744" w14:textId="68338DDF" w:rsidR="00063382" w:rsidRPr="00860000" w:rsidRDefault="00063382" w:rsidP="00063382">
      <w:pPr>
        <w:spacing w:after="0"/>
      </w:pPr>
      <w:r w:rsidRPr="00860000">
        <w:rPr>
          <w:b/>
        </w:rPr>
        <w:t>Isolation</w:t>
      </w:r>
      <w:r w:rsidRPr="00860000">
        <w:t xml:space="preserve"> is for individuals who have either tested positive for COVID-19 or who are exhibiting symptoms of COVID-19 (including fever</w:t>
      </w:r>
      <w:r w:rsidR="00524BF9">
        <w:t>, chills, shaking chills, muscle pain, headache, sore throat, or new loss of taste or smell</w:t>
      </w:r>
      <w:r w:rsidRPr="00860000">
        <w:t>)</w:t>
      </w:r>
      <w:r w:rsidR="00524BF9">
        <w:t xml:space="preserve"> and have been told by a provider that they have, or probably have, COVID-19, even in the absence of a test</w:t>
      </w:r>
      <w:r w:rsidR="00DF4A6A">
        <w:t>.</w:t>
      </w:r>
    </w:p>
    <w:p w14:paraId="35ED3AD3" w14:textId="49216183" w:rsidR="006A4931" w:rsidRPr="006A4931" w:rsidRDefault="006A4931" w:rsidP="00FC3A4A">
      <w:pPr>
        <w:sectPr w:rsidR="006A4931" w:rsidRPr="006A4931" w:rsidSect="0010083B">
          <w:headerReference w:type="default" r:id="rId12"/>
          <w:pgSz w:w="15840" w:h="12240" w:orient="landscape"/>
          <w:pgMar w:top="720" w:right="720" w:bottom="720" w:left="720" w:header="720" w:footer="720" w:gutter="0"/>
          <w:cols w:space="720"/>
          <w:docGrid w:linePitch="360"/>
        </w:sectPr>
      </w:pPr>
    </w:p>
    <w:p w14:paraId="5EFE7A10" w14:textId="77777777" w:rsidR="00FC3A4A" w:rsidRDefault="0010083B" w:rsidP="00DC79E9">
      <w:pPr>
        <w:pStyle w:val="Heading2"/>
        <w:rPr>
          <w:sz w:val="26"/>
        </w:rPr>
      </w:pPr>
      <w:r w:rsidRPr="00FC3A4A">
        <w:rPr>
          <w:sz w:val="26"/>
        </w:rPr>
        <w:lastRenderedPageBreak/>
        <w:t>Healthcare Personnel (HCP</w:t>
      </w:r>
      <w:r w:rsidR="00FC3A4A" w:rsidRPr="00FC3A4A">
        <w:rPr>
          <w:sz w:val="26"/>
        </w:rPr>
        <w:t xml:space="preserve">): </w:t>
      </w:r>
    </w:p>
    <w:p w14:paraId="43E77B4E" w14:textId="639DAF8C" w:rsidR="00E37079" w:rsidRPr="00FC3A4A" w:rsidRDefault="00726DCB" w:rsidP="00DC79E9">
      <w:pPr>
        <w:pStyle w:val="Heading2"/>
        <w:rPr>
          <w:rStyle w:val="Hyperlink"/>
          <w:szCs w:val="28"/>
        </w:rPr>
      </w:pPr>
      <w:hyperlink r:id="rId13" w:history="1">
        <w:r w:rsidR="0010083B" w:rsidRPr="00FC3A4A">
          <w:rPr>
            <w:rStyle w:val="Hyperlink"/>
            <w:szCs w:val="28"/>
          </w:rPr>
          <w:t>Return to Work for Healthcare Personnel with Confirmed or Suspected COVID-19</w:t>
        </w:r>
      </w:hyperlink>
    </w:p>
    <w:p w14:paraId="7B10EA91" w14:textId="77777777" w:rsidR="00DC79E9" w:rsidRPr="00DC79E9" w:rsidRDefault="00DC79E9" w:rsidP="00DC79E9">
      <w:pPr>
        <w:spacing w:after="0"/>
        <w:rPr>
          <w:sz w:val="10"/>
          <w:szCs w:val="10"/>
        </w:rPr>
      </w:pPr>
    </w:p>
    <w:p w14:paraId="3EA14553" w14:textId="2F430A7D" w:rsidR="0010083B" w:rsidRDefault="00A116E3" w:rsidP="00A116E3">
      <w:pPr>
        <w:pStyle w:val="Heading3"/>
      </w:pPr>
      <w:r w:rsidRPr="00A116E3">
        <w:t>Ending Isolation</w:t>
      </w:r>
      <w:r>
        <w:t>/Return to Work Guidance</w:t>
      </w:r>
    </w:p>
    <w:p w14:paraId="0BABCDDB" w14:textId="77777777" w:rsidR="00E92DF8" w:rsidRDefault="00E92DF8" w:rsidP="00E92DF8">
      <w:pPr>
        <w:spacing w:after="0"/>
      </w:pPr>
    </w:p>
    <w:p w14:paraId="0FB7468D" w14:textId="64B15919" w:rsidR="00E92DF8" w:rsidRPr="00E92DF8" w:rsidRDefault="00726DCB" w:rsidP="00E92DF8">
      <w:hyperlink r:id="rId14" w:history="1">
        <w:r w:rsidR="00E92DF8" w:rsidRPr="00E92DF8">
          <w:rPr>
            <w:rStyle w:val="Hyperlink"/>
          </w:rPr>
          <w:t>Symptomatic HCP with suspected or confirmed COVID-19</w:t>
        </w:r>
      </w:hyperlink>
    </w:p>
    <w:p w14:paraId="63962827" w14:textId="605587EA" w:rsidR="00BB6E2D" w:rsidRPr="00E92DF8" w:rsidRDefault="00BB6E2D" w:rsidP="00974B28">
      <w:pPr>
        <w:pStyle w:val="ListParagraph"/>
        <w:numPr>
          <w:ilvl w:val="0"/>
          <w:numId w:val="18"/>
        </w:numPr>
        <w:spacing w:before="100" w:beforeAutospacing="1" w:after="100" w:afterAutospacing="1" w:line="240" w:lineRule="auto"/>
        <w:rPr>
          <w:rFonts w:cstheme="minorHAnsi"/>
          <w:color w:val="000000"/>
        </w:rPr>
      </w:pPr>
      <w:r w:rsidRPr="00E92DF8">
        <w:rPr>
          <w:rStyle w:val="Emphasis"/>
          <w:rFonts w:cstheme="minorHAnsi"/>
          <w:b/>
          <w:bCs/>
          <w:i w:val="0"/>
          <w:iCs w:val="0"/>
          <w:color w:val="000000"/>
        </w:rPr>
        <w:t>Symptom-based strategy</w:t>
      </w:r>
      <w:r w:rsidRPr="00E92DF8">
        <w:rPr>
          <w:rFonts w:cstheme="minorHAnsi"/>
          <w:b/>
          <w:bCs/>
          <w:i/>
          <w:iCs/>
          <w:color w:val="000000"/>
        </w:rPr>
        <w:t>.</w:t>
      </w:r>
      <w:r w:rsidRPr="00E92DF8">
        <w:rPr>
          <w:rFonts w:cstheme="minorHAnsi"/>
          <w:color w:val="000000"/>
        </w:rPr>
        <w:t xml:space="preserve"> Exclude from work until:</w:t>
      </w:r>
    </w:p>
    <w:p w14:paraId="128F4DF1" w14:textId="77777777" w:rsidR="00BB6E2D" w:rsidRPr="00BB6E2D" w:rsidRDefault="00BB6E2D" w:rsidP="00974B28">
      <w:pPr>
        <w:numPr>
          <w:ilvl w:val="0"/>
          <w:numId w:val="8"/>
        </w:numPr>
        <w:spacing w:before="100" w:beforeAutospacing="1" w:line="240" w:lineRule="auto"/>
        <w:rPr>
          <w:rFonts w:cstheme="minorHAnsi"/>
          <w:color w:val="000000"/>
        </w:rPr>
      </w:pPr>
      <w:r w:rsidRPr="00BB6E2D">
        <w:rPr>
          <w:rFonts w:cstheme="minorHAnsi"/>
          <w:color w:val="000000"/>
        </w:rPr>
        <w:t xml:space="preserve">At least 3 days (72 hours) have passed </w:t>
      </w:r>
      <w:r w:rsidRPr="00BB6E2D">
        <w:rPr>
          <w:rStyle w:val="Emphasis"/>
          <w:rFonts w:cstheme="minorHAnsi"/>
          <w:color w:val="000000"/>
        </w:rPr>
        <w:t>since recovery</w:t>
      </w:r>
      <w:r w:rsidRPr="00BB6E2D">
        <w:rPr>
          <w:rFonts w:cstheme="minorHAnsi"/>
          <w:color w:val="000000"/>
        </w:rPr>
        <w:t xml:space="preserve"> defined as resolution of fever without the use of fever-reducing medications </w:t>
      </w:r>
      <w:r w:rsidRPr="00BB6E2D">
        <w:rPr>
          <w:rStyle w:val="Strong"/>
          <w:rFonts w:cstheme="minorHAnsi"/>
          <w:color w:val="000000"/>
        </w:rPr>
        <w:t>and</w:t>
      </w:r>
      <w:r w:rsidRPr="00BB6E2D">
        <w:rPr>
          <w:rFonts w:cstheme="minorHAnsi"/>
          <w:color w:val="000000"/>
        </w:rPr>
        <w:t xml:space="preserve"> improvement in respiratory symptoms (e.g., cough, shortness of breath); </w:t>
      </w:r>
      <w:r w:rsidRPr="00BB6E2D">
        <w:rPr>
          <w:rStyle w:val="Strong"/>
          <w:rFonts w:cstheme="minorHAnsi"/>
          <w:color w:val="000000"/>
        </w:rPr>
        <w:t>and</w:t>
      </w:r>
      <w:r w:rsidRPr="00BB6E2D">
        <w:rPr>
          <w:rFonts w:cstheme="minorHAnsi"/>
          <w:color w:val="000000"/>
        </w:rPr>
        <w:t>,</w:t>
      </w:r>
    </w:p>
    <w:p w14:paraId="1EADCE00" w14:textId="77777777" w:rsidR="00BB6E2D" w:rsidRPr="00BB6E2D" w:rsidRDefault="00BB6E2D" w:rsidP="00974B28">
      <w:pPr>
        <w:numPr>
          <w:ilvl w:val="0"/>
          <w:numId w:val="8"/>
        </w:numPr>
        <w:spacing w:before="100" w:beforeAutospacing="1" w:line="240" w:lineRule="auto"/>
        <w:rPr>
          <w:rFonts w:cstheme="minorHAnsi"/>
          <w:color w:val="000000"/>
        </w:rPr>
      </w:pPr>
      <w:r w:rsidRPr="00BB6E2D">
        <w:rPr>
          <w:rFonts w:cstheme="minorHAnsi"/>
          <w:color w:val="000000"/>
        </w:rPr>
        <w:t xml:space="preserve">At least 10 days have passed </w:t>
      </w:r>
      <w:r w:rsidRPr="00BB6E2D">
        <w:rPr>
          <w:rStyle w:val="Emphasis"/>
          <w:rFonts w:cstheme="minorHAnsi"/>
          <w:color w:val="000000"/>
        </w:rPr>
        <w:t>since symptoms first appeared</w:t>
      </w:r>
    </w:p>
    <w:p w14:paraId="6D3C4393" w14:textId="42E757F1" w:rsidR="00BB6E2D" w:rsidRPr="00E92DF8" w:rsidRDefault="00BB6E2D" w:rsidP="00974B28">
      <w:pPr>
        <w:pStyle w:val="ListParagraph"/>
        <w:numPr>
          <w:ilvl w:val="0"/>
          <w:numId w:val="18"/>
        </w:numPr>
        <w:spacing w:before="100" w:beforeAutospacing="1" w:after="100" w:afterAutospacing="1" w:line="240" w:lineRule="auto"/>
        <w:rPr>
          <w:rFonts w:cstheme="minorHAnsi"/>
          <w:color w:val="000000"/>
        </w:rPr>
      </w:pPr>
      <w:r w:rsidRPr="00E92DF8">
        <w:rPr>
          <w:rStyle w:val="Emphasis"/>
          <w:rFonts w:cstheme="minorHAnsi"/>
          <w:b/>
          <w:bCs/>
          <w:i w:val="0"/>
          <w:iCs w:val="0"/>
          <w:color w:val="000000"/>
        </w:rPr>
        <w:t>Test-based strategy</w:t>
      </w:r>
      <w:r w:rsidRPr="00E92DF8">
        <w:rPr>
          <w:rStyle w:val="Emphasis"/>
          <w:rFonts w:cstheme="minorHAnsi"/>
          <w:color w:val="000000"/>
        </w:rPr>
        <w:t>.</w:t>
      </w:r>
      <w:r w:rsidRPr="00E92DF8">
        <w:rPr>
          <w:rFonts w:cstheme="minorHAnsi"/>
          <w:color w:val="000000"/>
        </w:rPr>
        <w:t xml:space="preserve"> Exclude from work until:</w:t>
      </w:r>
    </w:p>
    <w:p w14:paraId="3BF9407C" w14:textId="77777777" w:rsidR="00BB6E2D" w:rsidRPr="00BB6E2D" w:rsidRDefault="00BB6E2D" w:rsidP="00974B28">
      <w:pPr>
        <w:numPr>
          <w:ilvl w:val="0"/>
          <w:numId w:val="8"/>
        </w:numPr>
        <w:spacing w:before="100" w:beforeAutospacing="1" w:line="240" w:lineRule="auto"/>
        <w:rPr>
          <w:rFonts w:cstheme="minorHAnsi"/>
          <w:color w:val="000000"/>
        </w:rPr>
      </w:pPr>
      <w:r w:rsidRPr="00BB6E2D">
        <w:rPr>
          <w:rFonts w:cstheme="minorHAnsi"/>
          <w:color w:val="000000"/>
        </w:rPr>
        <w:t xml:space="preserve">Resolution of fever without the use of fever-reducing medications </w:t>
      </w:r>
      <w:r w:rsidRPr="00E92DF8">
        <w:rPr>
          <w:b/>
          <w:bCs/>
        </w:rPr>
        <w:t>and</w:t>
      </w:r>
    </w:p>
    <w:p w14:paraId="642BA60B" w14:textId="77777777" w:rsidR="00BB6E2D" w:rsidRPr="00BB6E2D" w:rsidRDefault="00BB6E2D" w:rsidP="00974B28">
      <w:pPr>
        <w:numPr>
          <w:ilvl w:val="0"/>
          <w:numId w:val="8"/>
        </w:numPr>
        <w:spacing w:before="100" w:beforeAutospacing="1" w:line="240" w:lineRule="auto"/>
        <w:rPr>
          <w:rFonts w:cstheme="minorHAnsi"/>
          <w:color w:val="000000"/>
        </w:rPr>
      </w:pPr>
      <w:r w:rsidRPr="00BB6E2D">
        <w:rPr>
          <w:rFonts w:cstheme="minorHAnsi"/>
          <w:color w:val="000000"/>
        </w:rPr>
        <w:t xml:space="preserve">Improvement in respiratory symptoms (e.g., cough, shortness of breath), </w:t>
      </w:r>
      <w:r w:rsidRPr="00E92DF8">
        <w:rPr>
          <w:b/>
          <w:bCs/>
        </w:rPr>
        <w:t>and</w:t>
      </w:r>
    </w:p>
    <w:p w14:paraId="522743DA" w14:textId="77777777" w:rsidR="00BC2E7A" w:rsidRDefault="00BB6E2D" w:rsidP="00974B28">
      <w:pPr>
        <w:numPr>
          <w:ilvl w:val="0"/>
          <w:numId w:val="8"/>
        </w:numPr>
        <w:spacing w:before="100" w:beforeAutospacing="1" w:line="240" w:lineRule="auto"/>
        <w:rPr>
          <w:rFonts w:cstheme="minorHAnsi"/>
          <w:color w:val="000000"/>
        </w:rPr>
      </w:pPr>
      <w:r w:rsidRPr="00BB6E2D">
        <w:rPr>
          <w:rFonts w:cstheme="minorHAnsi"/>
          <w:color w:val="000000"/>
        </w:rPr>
        <w:t xml:space="preserve">Negative results of an FDA Emergency Use Authorized COVID-19 molecular assay for detection of SARS-CoV-2 RNA from at least two consecutive nasopharyngeal swab specimens collected ≥24 hours apart (total of two negative specimens). </w:t>
      </w:r>
    </w:p>
    <w:p w14:paraId="798DDB65" w14:textId="295F9015" w:rsidR="00BB6E2D" w:rsidRPr="009D5BA1" w:rsidRDefault="00BB6E2D" w:rsidP="00974B28">
      <w:pPr>
        <w:numPr>
          <w:ilvl w:val="0"/>
          <w:numId w:val="8"/>
        </w:numPr>
        <w:spacing w:before="100" w:beforeAutospacing="1" w:line="240" w:lineRule="auto"/>
        <w:rPr>
          <w:rFonts w:cstheme="minorHAnsi"/>
          <w:b/>
          <w:bCs/>
          <w:color w:val="000000"/>
        </w:rPr>
      </w:pPr>
      <w:r w:rsidRPr="009D5BA1">
        <w:rPr>
          <w:rFonts w:cstheme="minorHAnsi"/>
          <w:b/>
          <w:bCs/>
          <w:color w:val="000000"/>
        </w:rPr>
        <w:t>Note: there have been reports of prolonged detection of RNA without direct correlation to viral culture.</w:t>
      </w:r>
    </w:p>
    <w:p w14:paraId="5226A501" w14:textId="6177CA27" w:rsidR="00BB6E2D" w:rsidRPr="00DC79E9" w:rsidRDefault="00726DCB" w:rsidP="00BB6E2D">
      <w:pPr>
        <w:pStyle w:val="NormalWeb"/>
        <w:spacing w:before="0" w:beforeAutospacing="0"/>
        <w:rPr>
          <w:rFonts w:asciiTheme="minorHAnsi" w:hAnsiTheme="minorHAnsi" w:cstheme="minorHAnsi"/>
          <w:sz w:val="22"/>
          <w:szCs w:val="22"/>
        </w:rPr>
      </w:pPr>
      <w:hyperlink r:id="rId15" w:history="1">
        <w:r w:rsidR="00DC79E9" w:rsidRPr="00DC79E9">
          <w:rPr>
            <w:rStyle w:val="Hyperlink"/>
            <w:rFonts w:asciiTheme="minorHAnsi" w:hAnsiTheme="minorHAnsi" w:cstheme="minorHAnsi"/>
            <w:sz w:val="22"/>
            <w:szCs w:val="22"/>
          </w:rPr>
          <w:t>HCP with laboratory-confirmed COVID-19 who have not had any symptoms</w:t>
        </w:r>
      </w:hyperlink>
    </w:p>
    <w:p w14:paraId="2F95062F" w14:textId="7C638BF6" w:rsidR="00BB6E2D" w:rsidRPr="00E92DF8" w:rsidRDefault="00BB6E2D" w:rsidP="00974B28">
      <w:pPr>
        <w:pStyle w:val="ListParagraph"/>
        <w:numPr>
          <w:ilvl w:val="0"/>
          <w:numId w:val="19"/>
        </w:numPr>
        <w:spacing w:before="100" w:beforeAutospacing="1" w:after="100" w:afterAutospacing="1" w:line="240" w:lineRule="auto"/>
        <w:rPr>
          <w:rFonts w:cstheme="minorHAnsi"/>
          <w:color w:val="000000"/>
        </w:rPr>
      </w:pPr>
      <w:r w:rsidRPr="00E92DF8">
        <w:rPr>
          <w:rStyle w:val="Emphasis"/>
          <w:rFonts w:cstheme="minorHAnsi"/>
          <w:b/>
          <w:bCs/>
          <w:i w:val="0"/>
          <w:iCs w:val="0"/>
          <w:color w:val="000000"/>
        </w:rPr>
        <w:t>Time-based strategy</w:t>
      </w:r>
      <w:r w:rsidRPr="00E92DF8">
        <w:rPr>
          <w:rStyle w:val="Emphasis"/>
          <w:rFonts w:cstheme="minorHAnsi"/>
          <w:color w:val="000000"/>
        </w:rPr>
        <w:t>.</w:t>
      </w:r>
      <w:r w:rsidRPr="00E92DF8">
        <w:rPr>
          <w:rFonts w:cstheme="minorHAnsi"/>
          <w:color w:val="000000"/>
        </w:rPr>
        <w:t xml:space="preserve"> Exclude from work until: </w:t>
      </w:r>
    </w:p>
    <w:p w14:paraId="0AE90FAF" w14:textId="77777777" w:rsidR="00BC2E7A" w:rsidRDefault="00BB6E2D" w:rsidP="00974B28">
      <w:pPr>
        <w:numPr>
          <w:ilvl w:val="0"/>
          <w:numId w:val="8"/>
        </w:numPr>
        <w:spacing w:before="100" w:beforeAutospacing="1" w:line="240" w:lineRule="auto"/>
        <w:rPr>
          <w:rFonts w:cstheme="minorHAnsi"/>
          <w:color w:val="000000"/>
        </w:rPr>
      </w:pPr>
      <w:r w:rsidRPr="00BB6E2D">
        <w:rPr>
          <w:rFonts w:cstheme="minorHAnsi"/>
          <w:color w:val="000000"/>
        </w:rPr>
        <w:t xml:space="preserve">10 days have passed since the date of their first positive COVID-19 diagnostic test assuming they have not subsequently developed symptoms since their positive test. If they develop symptoms, then the </w:t>
      </w:r>
      <w:r w:rsidRPr="00E92DF8">
        <w:rPr>
          <w:i/>
          <w:iCs/>
        </w:rPr>
        <w:t>symptom-based</w:t>
      </w:r>
      <w:r w:rsidRPr="00BB6E2D">
        <w:rPr>
          <w:rFonts w:cstheme="minorHAnsi"/>
          <w:color w:val="000000"/>
        </w:rPr>
        <w:t xml:space="preserve"> or </w:t>
      </w:r>
      <w:r w:rsidRPr="00E92DF8">
        <w:rPr>
          <w:i/>
          <w:iCs/>
        </w:rPr>
        <w:t>test-based strategy</w:t>
      </w:r>
      <w:r w:rsidRPr="00BB6E2D">
        <w:rPr>
          <w:rFonts w:cstheme="minorHAnsi"/>
          <w:color w:val="000000"/>
        </w:rPr>
        <w:t xml:space="preserve"> should be used.  </w:t>
      </w:r>
    </w:p>
    <w:p w14:paraId="031B055B" w14:textId="1170A466" w:rsidR="00BB6E2D" w:rsidRPr="00BB6E2D" w:rsidRDefault="00BB6E2D" w:rsidP="00974B28">
      <w:pPr>
        <w:numPr>
          <w:ilvl w:val="0"/>
          <w:numId w:val="8"/>
        </w:numPr>
        <w:spacing w:before="100" w:beforeAutospacing="1" w:line="240" w:lineRule="auto"/>
        <w:rPr>
          <w:rFonts w:cstheme="minorHAnsi"/>
          <w:color w:val="000000"/>
        </w:rPr>
      </w:pPr>
      <w:r w:rsidRPr="00BB6E2D">
        <w:rPr>
          <w:rFonts w:cstheme="minorHAnsi"/>
          <w:color w:val="000000"/>
        </w:rPr>
        <w:t>Note</w:t>
      </w:r>
      <w:r w:rsidR="00BC2E7A">
        <w:rPr>
          <w:rFonts w:cstheme="minorHAnsi"/>
          <w:color w:val="000000"/>
        </w:rPr>
        <w:t>:</w:t>
      </w:r>
      <w:r w:rsidRPr="00BB6E2D">
        <w:rPr>
          <w:rFonts w:cstheme="minorHAnsi"/>
          <w:color w:val="000000"/>
        </w:rPr>
        <w:t xml:space="preserve"> because symptoms cannot be used to gauge where these individuals are in the course of their illness, it is possible that the duration of viral shedding could be longer or shorter than 10 days after their first positive test.</w:t>
      </w:r>
    </w:p>
    <w:p w14:paraId="3EA92417" w14:textId="35694290" w:rsidR="00BB6E2D" w:rsidRPr="00E92DF8" w:rsidRDefault="00BB6E2D" w:rsidP="00974B28">
      <w:pPr>
        <w:pStyle w:val="ListParagraph"/>
        <w:numPr>
          <w:ilvl w:val="0"/>
          <w:numId w:val="19"/>
        </w:numPr>
        <w:spacing w:before="100" w:beforeAutospacing="1" w:after="100" w:afterAutospacing="1" w:line="240" w:lineRule="auto"/>
        <w:rPr>
          <w:rFonts w:cstheme="minorHAnsi"/>
          <w:color w:val="000000"/>
        </w:rPr>
      </w:pPr>
      <w:r w:rsidRPr="00E92DF8">
        <w:rPr>
          <w:rStyle w:val="Emphasis"/>
          <w:rFonts w:cstheme="minorHAnsi"/>
          <w:b/>
          <w:bCs/>
          <w:i w:val="0"/>
          <w:iCs w:val="0"/>
          <w:color w:val="000000"/>
        </w:rPr>
        <w:t>Test-based strategy</w:t>
      </w:r>
      <w:r w:rsidRPr="00E92DF8">
        <w:rPr>
          <w:rFonts w:cstheme="minorHAnsi"/>
          <w:b/>
          <w:bCs/>
          <w:i/>
          <w:iCs/>
          <w:color w:val="000000"/>
        </w:rPr>
        <w:t>.</w:t>
      </w:r>
      <w:r w:rsidRPr="00E92DF8">
        <w:rPr>
          <w:rFonts w:cstheme="minorHAnsi"/>
          <w:color w:val="000000"/>
        </w:rPr>
        <w:t xml:space="preserve"> Exclude from work until: </w:t>
      </w:r>
    </w:p>
    <w:p w14:paraId="5981A982" w14:textId="77777777" w:rsidR="00BC2E7A" w:rsidRDefault="00BB6E2D" w:rsidP="00974B28">
      <w:pPr>
        <w:numPr>
          <w:ilvl w:val="0"/>
          <w:numId w:val="8"/>
        </w:numPr>
        <w:spacing w:before="100" w:beforeAutospacing="1" w:line="240" w:lineRule="auto"/>
        <w:rPr>
          <w:rFonts w:cstheme="minorHAnsi"/>
          <w:color w:val="000000"/>
        </w:rPr>
      </w:pPr>
      <w:r w:rsidRPr="00BB6E2D">
        <w:rPr>
          <w:rFonts w:cstheme="minorHAnsi"/>
          <w:color w:val="000000"/>
        </w:rPr>
        <w:t xml:space="preserve">Negative results of an FDA Emergency Use Authorized COVID-19 molecular assay for detection of SARS-CoV-2 RNA from at least two consecutive nasopharyngeal swab specimens collected ≥24 hours apart (total of two negative specimens). </w:t>
      </w:r>
    </w:p>
    <w:p w14:paraId="79DA4A64" w14:textId="0AD7AF4E" w:rsidR="00BB6E2D" w:rsidRPr="00BB6E2D" w:rsidRDefault="00BB6E2D" w:rsidP="00974B28">
      <w:pPr>
        <w:numPr>
          <w:ilvl w:val="0"/>
          <w:numId w:val="8"/>
        </w:numPr>
        <w:spacing w:before="100" w:beforeAutospacing="1" w:line="240" w:lineRule="auto"/>
        <w:rPr>
          <w:rFonts w:cstheme="minorHAnsi"/>
          <w:color w:val="000000"/>
        </w:rPr>
      </w:pPr>
      <w:r w:rsidRPr="00BB6E2D">
        <w:rPr>
          <w:rFonts w:cstheme="minorHAnsi"/>
          <w:color w:val="000000"/>
        </w:rPr>
        <w:t>Note</w:t>
      </w:r>
      <w:r w:rsidR="00BC2E7A">
        <w:rPr>
          <w:rFonts w:cstheme="minorHAnsi"/>
          <w:color w:val="000000"/>
        </w:rPr>
        <w:t xml:space="preserve">: </w:t>
      </w:r>
      <w:r w:rsidRPr="00BB6E2D">
        <w:rPr>
          <w:rFonts w:cstheme="minorHAnsi"/>
          <w:color w:val="000000"/>
        </w:rPr>
        <w:t>because of the absence of symptoms, it is not possible to gauge where these individual</w:t>
      </w:r>
      <w:r w:rsidR="000F41AB">
        <w:rPr>
          <w:rFonts w:cstheme="minorHAnsi"/>
          <w:color w:val="000000"/>
        </w:rPr>
        <w:t>s</w:t>
      </w:r>
      <w:r w:rsidRPr="00BB6E2D">
        <w:rPr>
          <w:rFonts w:cstheme="minorHAnsi"/>
          <w:color w:val="000000"/>
        </w:rPr>
        <w:t xml:space="preserve"> are in the course of their illness.  There have been reports of prolonged detection of RNA without direct correlation to viral culture.</w:t>
      </w:r>
    </w:p>
    <w:p w14:paraId="4664CC79" w14:textId="77777777" w:rsidR="00BB6E2D" w:rsidRPr="00BB6E2D" w:rsidRDefault="00BB6E2D" w:rsidP="00BB6E2D">
      <w:pPr>
        <w:pStyle w:val="NormalWeb"/>
        <w:spacing w:before="0" w:beforeAutospacing="0"/>
        <w:rPr>
          <w:rFonts w:asciiTheme="minorHAnsi" w:hAnsiTheme="minorHAnsi" w:cstheme="minorHAnsi"/>
          <w:sz w:val="22"/>
          <w:szCs w:val="22"/>
        </w:rPr>
      </w:pPr>
      <w:r w:rsidRPr="00BB6E2D">
        <w:rPr>
          <w:rFonts w:asciiTheme="minorHAnsi" w:hAnsiTheme="minorHAnsi" w:cstheme="minorHAnsi"/>
          <w:sz w:val="22"/>
          <w:szCs w:val="22"/>
        </w:rPr>
        <w:t>Note that detecting viral RNA via PCR does not necessarily mean that infectious virus is present.</w:t>
      </w:r>
    </w:p>
    <w:p w14:paraId="61771739" w14:textId="782FFBEE" w:rsidR="00957176" w:rsidRDefault="00BB6E2D" w:rsidP="00BB6E2D">
      <w:pPr>
        <w:pStyle w:val="NormalWeb"/>
        <w:spacing w:before="0" w:beforeAutospacing="0"/>
        <w:rPr>
          <w:rFonts w:asciiTheme="minorHAnsi" w:hAnsiTheme="minorHAnsi" w:cstheme="minorHAnsi"/>
          <w:sz w:val="22"/>
          <w:szCs w:val="22"/>
        </w:rPr>
      </w:pPr>
      <w:r w:rsidRPr="00BB6E2D">
        <w:rPr>
          <w:rFonts w:asciiTheme="minorHAnsi" w:hAnsiTheme="minorHAnsi" w:cstheme="minorHAnsi"/>
          <w:sz w:val="22"/>
          <w:szCs w:val="22"/>
        </w:rPr>
        <w:t>If HCP had COVID-19 ruled out and have an alternate diagnosis (e.g., tested positive for influenza), criteria for return to work should be based on that diagnosis.</w:t>
      </w:r>
    </w:p>
    <w:p w14:paraId="7C8378D6" w14:textId="351539C7" w:rsidR="0010083B" w:rsidRDefault="0010083B" w:rsidP="00A116E3">
      <w:pPr>
        <w:pStyle w:val="Heading3"/>
        <w:rPr>
          <w:rStyle w:val="Strong"/>
          <w:b w:val="0"/>
          <w:bCs w:val="0"/>
        </w:rPr>
      </w:pPr>
      <w:r w:rsidRPr="00A116E3">
        <w:rPr>
          <w:rStyle w:val="Strong"/>
          <w:b w:val="0"/>
          <w:bCs w:val="0"/>
        </w:rPr>
        <w:lastRenderedPageBreak/>
        <w:t>Return to Work Practices and Work Restrictions</w:t>
      </w:r>
    </w:p>
    <w:p w14:paraId="0A56543F" w14:textId="77777777" w:rsidR="00E92DF8" w:rsidRPr="00E92DF8" w:rsidRDefault="00E92DF8" w:rsidP="00E92DF8">
      <w:pPr>
        <w:spacing w:after="0"/>
      </w:pPr>
    </w:p>
    <w:p w14:paraId="5ABFA1ED" w14:textId="77777777" w:rsidR="0010083B" w:rsidRPr="007D3506" w:rsidRDefault="0010083B" w:rsidP="0010083B">
      <w:pPr>
        <w:pStyle w:val="NormalWeb"/>
        <w:shd w:val="clear" w:color="auto" w:fill="FFFFFF"/>
        <w:spacing w:before="0" w:beforeAutospacing="0"/>
        <w:rPr>
          <w:rFonts w:asciiTheme="minorHAnsi" w:hAnsiTheme="minorHAnsi" w:cstheme="minorHAnsi"/>
          <w:sz w:val="22"/>
          <w:szCs w:val="22"/>
        </w:rPr>
      </w:pPr>
      <w:r w:rsidRPr="007D3506">
        <w:rPr>
          <w:rFonts w:asciiTheme="minorHAnsi" w:hAnsiTheme="minorHAnsi" w:cstheme="minorHAnsi"/>
          <w:sz w:val="22"/>
          <w:szCs w:val="22"/>
        </w:rPr>
        <w:t>After returning to work, HCP should:</w:t>
      </w:r>
    </w:p>
    <w:p w14:paraId="04B3E86D" w14:textId="77777777" w:rsidR="0010083B" w:rsidRPr="006B2578" w:rsidRDefault="0010083B" w:rsidP="00974B28">
      <w:pPr>
        <w:numPr>
          <w:ilvl w:val="0"/>
          <w:numId w:val="1"/>
        </w:numPr>
        <w:shd w:val="clear" w:color="auto" w:fill="FFFFFF"/>
        <w:spacing w:before="100" w:beforeAutospacing="1" w:line="240" w:lineRule="auto"/>
        <w:rPr>
          <w:rFonts w:cstheme="minorHAnsi"/>
          <w:color w:val="000000"/>
        </w:rPr>
      </w:pPr>
      <w:r w:rsidRPr="006B2578">
        <w:rPr>
          <w:rFonts w:cstheme="minorHAnsi"/>
          <w:color w:val="000000"/>
        </w:rPr>
        <w:t>Wear a facemask for source control at all times while in the healthcare facility until all symptoms are completely resolved or until 14 days after illness onset, whichever is longer. A facemask instead of a cloth face covering should be used by these HCP for source control during this time period while in the facility. After this time period, these HCP should revert to their facility policy regarding </w:t>
      </w:r>
      <w:hyperlink r:id="rId16" w:history="1">
        <w:r w:rsidRPr="006B2578">
          <w:rPr>
            <w:rStyle w:val="Hyperlink"/>
            <w:rFonts w:cstheme="minorHAnsi"/>
            <w:color w:val="075290"/>
          </w:rPr>
          <w:t>universal source control</w:t>
        </w:r>
      </w:hyperlink>
      <w:r w:rsidRPr="006B2578">
        <w:rPr>
          <w:rFonts w:cstheme="minorHAnsi"/>
          <w:color w:val="000000"/>
        </w:rPr>
        <w:t> during the pandemic.</w:t>
      </w:r>
    </w:p>
    <w:p w14:paraId="04E86396" w14:textId="77777777" w:rsidR="0010083B" w:rsidRPr="006B2578" w:rsidRDefault="0010083B" w:rsidP="00974B28">
      <w:pPr>
        <w:numPr>
          <w:ilvl w:val="1"/>
          <w:numId w:val="2"/>
        </w:numPr>
        <w:shd w:val="clear" w:color="auto" w:fill="FFFFFF"/>
        <w:spacing w:before="100" w:beforeAutospacing="1" w:line="240" w:lineRule="auto"/>
        <w:rPr>
          <w:rFonts w:cstheme="minorHAnsi"/>
          <w:color w:val="000000"/>
        </w:rPr>
      </w:pPr>
      <w:r w:rsidRPr="006B2578">
        <w:rPr>
          <w:rFonts w:cstheme="minorHAnsi"/>
          <w:color w:val="000000"/>
        </w:rPr>
        <w:t>A facemask for source control does not replace the need to wear an N95 or higher-level respirator (or other recommended PPE) when indicated, including when caring for patients with suspected or confirmed COVID-19.</w:t>
      </w:r>
    </w:p>
    <w:p w14:paraId="624117A1" w14:textId="77777777" w:rsidR="0010083B" w:rsidRPr="006B2578" w:rsidRDefault="0010083B" w:rsidP="00974B28">
      <w:pPr>
        <w:numPr>
          <w:ilvl w:val="1"/>
          <w:numId w:val="2"/>
        </w:numPr>
        <w:shd w:val="clear" w:color="auto" w:fill="FFFFFF"/>
        <w:spacing w:before="100" w:beforeAutospacing="1" w:line="240" w:lineRule="auto"/>
        <w:rPr>
          <w:rFonts w:cstheme="minorHAnsi"/>
          <w:color w:val="000000"/>
        </w:rPr>
      </w:pPr>
      <w:r w:rsidRPr="006B2578">
        <w:rPr>
          <w:rFonts w:cstheme="minorHAnsi"/>
          <w:color w:val="000000"/>
        </w:rPr>
        <w:t>Of note, N95 or other respirators with an exhaust valve might not provide source control.</w:t>
      </w:r>
    </w:p>
    <w:p w14:paraId="763466C8" w14:textId="77777777" w:rsidR="0010083B" w:rsidRPr="006B2578" w:rsidRDefault="0010083B" w:rsidP="00974B28">
      <w:pPr>
        <w:numPr>
          <w:ilvl w:val="0"/>
          <w:numId w:val="1"/>
        </w:numPr>
        <w:shd w:val="clear" w:color="auto" w:fill="FFFFFF"/>
        <w:spacing w:before="100" w:beforeAutospacing="1" w:line="240" w:lineRule="auto"/>
        <w:rPr>
          <w:rFonts w:cstheme="minorHAnsi"/>
          <w:color w:val="000000"/>
        </w:rPr>
      </w:pPr>
      <w:r>
        <w:rPr>
          <w:rFonts w:cstheme="minorHAnsi"/>
          <w:color w:val="000000"/>
        </w:rPr>
        <w:t>HCP should b</w:t>
      </w:r>
      <w:r w:rsidRPr="006B2578">
        <w:rPr>
          <w:rFonts w:cstheme="minorHAnsi"/>
          <w:color w:val="000000"/>
        </w:rPr>
        <w:t>e restricted from contact with severely immunocompromised patients (e.g., transplant, hematology-oncology) until 14 days after illness onset</w:t>
      </w:r>
    </w:p>
    <w:p w14:paraId="575EB8F9" w14:textId="0D4E324F" w:rsidR="0010083B" w:rsidRDefault="0010083B" w:rsidP="00974B28">
      <w:pPr>
        <w:numPr>
          <w:ilvl w:val="0"/>
          <w:numId w:val="1"/>
        </w:numPr>
        <w:shd w:val="clear" w:color="auto" w:fill="FFFFFF"/>
        <w:spacing w:before="100" w:beforeAutospacing="1" w:line="240" w:lineRule="auto"/>
        <w:rPr>
          <w:rFonts w:cstheme="minorHAnsi"/>
          <w:color w:val="000000"/>
        </w:rPr>
      </w:pPr>
      <w:r>
        <w:rPr>
          <w:rFonts w:cstheme="minorHAnsi"/>
          <w:color w:val="000000"/>
        </w:rPr>
        <w:t>HCP should s</w:t>
      </w:r>
      <w:r w:rsidRPr="006B2578">
        <w:rPr>
          <w:rFonts w:cstheme="minorHAnsi"/>
          <w:color w:val="000000"/>
        </w:rPr>
        <w:t>elf-monitor for symptoms, and seek re-evaluation from occupational health if respiratory symptoms recur or worsen</w:t>
      </w:r>
    </w:p>
    <w:p w14:paraId="0BECA5B8" w14:textId="109E2CFC" w:rsidR="00650DBC" w:rsidRDefault="00650DBC" w:rsidP="00650DBC">
      <w:pPr>
        <w:shd w:val="clear" w:color="auto" w:fill="FFFFFF"/>
        <w:spacing w:before="100" w:beforeAutospacing="1" w:line="240" w:lineRule="auto"/>
        <w:rPr>
          <w:rFonts w:cstheme="minorHAnsi"/>
          <w:color w:val="000000"/>
        </w:rPr>
      </w:pPr>
    </w:p>
    <w:p w14:paraId="2F6C3E5F" w14:textId="71B9C9F2" w:rsidR="00FC3A4A" w:rsidRPr="00957176" w:rsidRDefault="00FC3A4A" w:rsidP="00FC3A4A">
      <w:pPr>
        <w:shd w:val="clear" w:color="auto" w:fill="FFFFFF"/>
        <w:spacing w:before="100" w:beforeAutospacing="1" w:after="100" w:afterAutospacing="1"/>
        <w:rPr>
          <w:rFonts w:eastAsia="Times New Roman" w:cstheme="minorHAnsi"/>
          <w:b/>
          <w:i/>
          <w:color w:val="1F497D" w:themeColor="text2"/>
          <w:sz w:val="28"/>
          <w:szCs w:val="24"/>
        </w:rPr>
      </w:pPr>
      <w:r>
        <w:rPr>
          <w:rFonts w:eastAsia="Times New Roman" w:cstheme="minorHAnsi"/>
          <w:b/>
          <w:i/>
          <w:color w:val="1F497D" w:themeColor="text2"/>
          <w:sz w:val="28"/>
          <w:szCs w:val="24"/>
        </w:rPr>
        <w:t xml:space="preserve">Employers </w:t>
      </w:r>
      <w:r>
        <w:rPr>
          <w:rFonts w:eastAsia="Times New Roman" w:cstheme="minorHAnsi"/>
          <w:b/>
          <w:i/>
          <w:color w:val="1F497D" w:themeColor="text2"/>
          <w:sz w:val="28"/>
          <w:szCs w:val="24"/>
          <w:u w:val="single"/>
        </w:rPr>
        <w:t>should not require a COVID-19 test result or a healthcare provider’s note</w:t>
      </w:r>
      <w:r>
        <w:rPr>
          <w:rFonts w:eastAsia="Times New Roman" w:cstheme="minorHAnsi"/>
          <w:b/>
          <w:i/>
          <w:color w:val="1F497D" w:themeColor="text2"/>
          <w:sz w:val="28"/>
          <w:szCs w:val="24"/>
        </w:rPr>
        <w:t xml:space="preserve"> for employees who are sick to validate their illness, qualify for sick leave, or to return to work. </w:t>
      </w:r>
    </w:p>
    <w:p w14:paraId="1F30684F" w14:textId="1F1E7159" w:rsidR="00650DBC" w:rsidRDefault="00650DBC" w:rsidP="00650DBC">
      <w:pPr>
        <w:shd w:val="clear" w:color="auto" w:fill="FFFFFF"/>
        <w:spacing w:before="100" w:beforeAutospacing="1" w:line="240" w:lineRule="auto"/>
        <w:rPr>
          <w:rFonts w:cstheme="minorHAnsi"/>
          <w:color w:val="000000"/>
        </w:rPr>
      </w:pPr>
    </w:p>
    <w:p w14:paraId="6DEF2438" w14:textId="0A4D5DBA" w:rsidR="00650DBC" w:rsidRDefault="00650DBC" w:rsidP="00650DBC">
      <w:pPr>
        <w:shd w:val="clear" w:color="auto" w:fill="FFFFFF"/>
        <w:spacing w:before="100" w:beforeAutospacing="1" w:line="240" w:lineRule="auto"/>
        <w:rPr>
          <w:rFonts w:cstheme="minorHAnsi"/>
          <w:color w:val="000000"/>
        </w:rPr>
      </w:pPr>
    </w:p>
    <w:p w14:paraId="551152E7" w14:textId="14A659D0" w:rsidR="00650DBC" w:rsidRDefault="00650DBC" w:rsidP="00650DBC">
      <w:pPr>
        <w:shd w:val="clear" w:color="auto" w:fill="FFFFFF"/>
        <w:spacing w:before="100" w:beforeAutospacing="1" w:line="240" w:lineRule="auto"/>
        <w:rPr>
          <w:rFonts w:cstheme="minorHAnsi"/>
          <w:color w:val="000000"/>
        </w:rPr>
      </w:pPr>
    </w:p>
    <w:p w14:paraId="4CD037A2" w14:textId="6AF32F18" w:rsidR="00650DBC" w:rsidRDefault="00650DBC" w:rsidP="00650DBC">
      <w:pPr>
        <w:shd w:val="clear" w:color="auto" w:fill="FFFFFF"/>
        <w:spacing w:before="100" w:beforeAutospacing="1" w:line="240" w:lineRule="auto"/>
        <w:rPr>
          <w:rFonts w:cstheme="minorHAnsi"/>
          <w:color w:val="000000"/>
        </w:rPr>
      </w:pPr>
    </w:p>
    <w:p w14:paraId="0E62A57B" w14:textId="7973199A" w:rsidR="00650DBC" w:rsidRDefault="00650DBC" w:rsidP="00650DBC">
      <w:pPr>
        <w:shd w:val="clear" w:color="auto" w:fill="FFFFFF"/>
        <w:spacing w:before="100" w:beforeAutospacing="1" w:line="240" w:lineRule="auto"/>
        <w:rPr>
          <w:rFonts w:cstheme="minorHAnsi"/>
          <w:color w:val="000000"/>
        </w:rPr>
      </w:pPr>
    </w:p>
    <w:p w14:paraId="4FAA1272" w14:textId="4A926FA9" w:rsidR="00650DBC" w:rsidRDefault="00650DBC" w:rsidP="00650DBC">
      <w:pPr>
        <w:shd w:val="clear" w:color="auto" w:fill="FFFFFF"/>
        <w:spacing w:before="100" w:beforeAutospacing="1" w:line="240" w:lineRule="auto"/>
        <w:rPr>
          <w:rFonts w:cstheme="minorHAnsi"/>
          <w:color w:val="000000"/>
        </w:rPr>
      </w:pPr>
    </w:p>
    <w:p w14:paraId="6ED294D6" w14:textId="1FA4CBE8" w:rsidR="00650DBC" w:rsidRDefault="00650DBC" w:rsidP="00650DBC">
      <w:pPr>
        <w:shd w:val="clear" w:color="auto" w:fill="FFFFFF"/>
        <w:spacing w:before="100" w:beforeAutospacing="1" w:line="240" w:lineRule="auto"/>
        <w:rPr>
          <w:rFonts w:cstheme="minorHAnsi"/>
          <w:color w:val="000000"/>
        </w:rPr>
      </w:pPr>
    </w:p>
    <w:p w14:paraId="102F47FE" w14:textId="00E9A468" w:rsidR="00650DBC" w:rsidRDefault="00650DBC" w:rsidP="00650DBC">
      <w:pPr>
        <w:shd w:val="clear" w:color="auto" w:fill="FFFFFF"/>
        <w:spacing w:before="100" w:beforeAutospacing="1" w:line="240" w:lineRule="auto"/>
        <w:rPr>
          <w:rFonts w:cstheme="minorHAnsi"/>
          <w:color w:val="000000"/>
        </w:rPr>
      </w:pPr>
    </w:p>
    <w:p w14:paraId="1E54E80D" w14:textId="3A56EC07" w:rsidR="00650DBC" w:rsidRDefault="00650DBC" w:rsidP="00650DBC">
      <w:pPr>
        <w:shd w:val="clear" w:color="auto" w:fill="FFFFFF"/>
        <w:spacing w:before="100" w:beforeAutospacing="1" w:line="240" w:lineRule="auto"/>
        <w:rPr>
          <w:rFonts w:cstheme="minorHAnsi"/>
          <w:color w:val="000000"/>
        </w:rPr>
      </w:pPr>
    </w:p>
    <w:p w14:paraId="33A99B74" w14:textId="0CBD7747" w:rsidR="00650DBC" w:rsidRDefault="00650DBC" w:rsidP="00650DBC">
      <w:pPr>
        <w:shd w:val="clear" w:color="auto" w:fill="FFFFFF"/>
        <w:spacing w:before="100" w:beforeAutospacing="1" w:line="240" w:lineRule="auto"/>
        <w:rPr>
          <w:rFonts w:cstheme="minorHAnsi"/>
          <w:color w:val="000000"/>
        </w:rPr>
      </w:pPr>
    </w:p>
    <w:p w14:paraId="66A18CC3" w14:textId="77777777" w:rsidR="00FC3A4A" w:rsidRDefault="00FC3A4A" w:rsidP="00650DBC">
      <w:pPr>
        <w:shd w:val="clear" w:color="auto" w:fill="FFFFFF"/>
        <w:spacing w:before="100" w:beforeAutospacing="1" w:line="240" w:lineRule="auto"/>
        <w:rPr>
          <w:rFonts w:cstheme="minorHAnsi"/>
          <w:color w:val="000000"/>
        </w:rPr>
      </w:pPr>
    </w:p>
    <w:p w14:paraId="6D722E90" w14:textId="1EA336F5" w:rsidR="00A116E3" w:rsidRDefault="00A116E3" w:rsidP="00A116E3">
      <w:pPr>
        <w:pStyle w:val="Heading3"/>
        <w:rPr>
          <w:rFonts w:eastAsia="Times New Roman"/>
        </w:rPr>
      </w:pPr>
      <w:r>
        <w:rPr>
          <w:rFonts w:eastAsia="Times New Roman"/>
        </w:rPr>
        <w:lastRenderedPageBreak/>
        <w:t>At-work Exposure</w:t>
      </w:r>
    </w:p>
    <w:p w14:paraId="7680204E" w14:textId="77777777" w:rsidR="00A116E3" w:rsidRPr="00A116E3" w:rsidRDefault="00A116E3" w:rsidP="00E92DF8">
      <w:pPr>
        <w:spacing w:after="0"/>
      </w:pPr>
    </w:p>
    <w:p w14:paraId="20985AFA" w14:textId="4FC94990" w:rsidR="00B41B48" w:rsidRPr="00B41B48" w:rsidRDefault="00726DCB">
      <w:pPr>
        <w:rPr>
          <w:i/>
          <w:iCs/>
        </w:rPr>
      </w:pPr>
      <w:hyperlink r:id="rId17" w:history="1">
        <w:r w:rsidR="00B41B48" w:rsidRPr="00B41B48">
          <w:rPr>
            <w:rStyle w:val="Hyperlink"/>
            <w:i/>
            <w:iCs/>
          </w:rPr>
          <w:t>Interim U.S. Guidance for Risk Assessment and Public Health Management of Healthcare Personnel with Potential Exposure in a Healthcare Setting to Patients with Coronavirus Disease 2019 (COVID-19)</w:t>
        </w:r>
      </w:hyperlink>
    </w:p>
    <w:p w14:paraId="49FD4F29" w14:textId="34A05BC5" w:rsidR="00B41B48" w:rsidRPr="00E92DF8" w:rsidRDefault="00A116E3" w:rsidP="00A116E3">
      <w:pPr>
        <w:pStyle w:val="Heading4"/>
        <w:shd w:val="clear" w:color="auto" w:fill="FFFFFF"/>
        <w:rPr>
          <w:rFonts w:asciiTheme="minorHAnsi" w:hAnsiTheme="minorHAnsi"/>
          <w:b/>
          <w:bCs/>
          <w:color w:val="1F497D" w:themeColor="text2"/>
        </w:rPr>
      </w:pPr>
      <w:r w:rsidRPr="00E92DF8">
        <w:rPr>
          <w:rFonts w:asciiTheme="minorHAnsi" w:hAnsiTheme="minorHAnsi"/>
          <w:b/>
          <w:bCs/>
          <w:color w:val="1F497D" w:themeColor="text2"/>
        </w:rPr>
        <w:t xml:space="preserve">I. </w:t>
      </w:r>
      <w:r w:rsidR="00B41B48" w:rsidRPr="00E92DF8">
        <w:rPr>
          <w:rFonts w:asciiTheme="minorHAnsi" w:hAnsiTheme="minorHAnsi"/>
          <w:b/>
          <w:bCs/>
          <w:color w:val="1F497D" w:themeColor="text2"/>
        </w:rPr>
        <w:t>Definitions:</w:t>
      </w:r>
    </w:p>
    <w:p w14:paraId="06ED668B" w14:textId="77777777" w:rsidR="00E92DF8" w:rsidRPr="00E92DF8" w:rsidRDefault="00E92DF8" w:rsidP="00E92DF8">
      <w:pPr>
        <w:spacing w:after="0"/>
      </w:pPr>
    </w:p>
    <w:p w14:paraId="214E8E76" w14:textId="70CC398D" w:rsidR="00B41B48" w:rsidRPr="00B41B48" w:rsidRDefault="00B41B48" w:rsidP="00B41B48">
      <w:pPr>
        <w:pStyle w:val="NormalWeb"/>
        <w:shd w:val="clear" w:color="auto" w:fill="FFFFFF"/>
        <w:spacing w:before="0" w:beforeAutospacing="0"/>
        <w:rPr>
          <w:rFonts w:asciiTheme="minorHAnsi" w:hAnsiTheme="minorHAnsi" w:cs="Segoe UI"/>
          <w:sz w:val="22"/>
          <w:szCs w:val="22"/>
        </w:rPr>
      </w:pPr>
      <w:r w:rsidRPr="00B41B48">
        <w:rPr>
          <w:rStyle w:val="Emphasis"/>
          <w:rFonts w:asciiTheme="minorHAnsi" w:hAnsiTheme="minorHAnsi" w:cs="Segoe UI"/>
          <w:b/>
          <w:bCs/>
          <w:sz w:val="22"/>
          <w:szCs w:val="22"/>
        </w:rPr>
        <w:t>Self-monitoring</w:t>
      </w:r>
      <w:r w:rsidRPr="00B41B48">
        <w:rPr>
          <w:rFonts w:asciiTheme="minorHAnsi" w:hAnsiTheme="minorHAnsi" w:cs="Segoe UI"/>
          <w:sz w:val="22"/>
          <w:szCs w:val="22"/>
        </w:rPr>
        <w:t> means HCP should monitor themselves for fever by taking their temperature twice a day and remain alert for symptoms of COVID-19 (e.g., cough, shortness of breath, sore throat, myalgias, malaise). Anyone on self-monitoring should be provided a plan for whom to contact if they develop fever or respiratory symptoms during the self-monitoring period to determine whether medical evaluation is needed.</w:t>
      </w:r>
    </w:p>
    <w:p w14:paraId="5DBC1018" w14:textId="65C8CE8E" w:rsidR="00B41B48" w:rsidRPr="00B41B48" w:rsidRDefault="00B41B48" w:rsidP="00B41B48">
      <w:pPr>
        <w:pStyle w:val="NormalWeb"/>
        <w:shd w:val="clear" w:color="auto" w:fill="FFFFFF"/>
        <w:spacing w:before="0" w:beforeAutospacing="0"/>
        <w:rPr>
          <w:rFonts w:asciiTheme="minorHAnsi" w:hAnsiTheme="minorHAnsi" w:cs="Segoe UI"/>
          <w:sz w:val="22"/>
          <w:szCs w:val="22"/>
        </w:rPr>
      </w:pPr>
      <w:r w:rsidRPr="00B41B48">
        <w:rPr>
          <w:rStyle w:val="Emphasis"/>
          <w:rFonts w:asciiTheme="minorHAnsi" w:hAnsiTheme="minorHAnsi" w:cs="Segoe UI"/>
          <w:b/>
          <w:bCs/>
          <w:sz w:val="22"/>
          <w:szCs w:val="22"/>
        </w:rPr>
        <w:t>Active monitoring </w:t>
      </w:r>
      <w:r w:rsidRPr="00B41B48">
        <w:rPr>
          <w:rFonts w:asciiTheme="minorHAnsi" w:hAnsiTheme="minorHAnsi" w:cs="Segoe UI"/>
          <w:sz w:val="22"/>
          <w:szCs w:val="22"/>
        </w:rPr>
        <w:t>means that the state or local public health authority assumes responsibility for establishing regular communication with potentially exposed people to assess for the presence of fever or symptoms of COVID-19 (e.g., cough, shortness of breath, sore throat, myalgias, malaise*. For HCP with high- or medium-risk exposures, CDC recommends this communication occurs at least once each day. The mode of communication can be determined by the state or local public health authority and may include telephone calls or any electronic or internet-based means of communication.</w:t>
      </w:r>
    </w:p>
    <w:p w14:paraId="12C250A6" w14:textId="77777777" w:rsidR="00B41B48" w:rsidRPr="00B41B48" w:rsidRDefault="00B41B48" w:rsidP="00B41B48">
      <w:pPr>
        <w:pStyle w:val="NormalWeb"/>
        <w:shd w:val="clear" w:color="auto" w:fill="FFFFFF"/>
        <w:spacing w:before="0" w:beforeAutospacing="0"/>
        <w:rPr>
          <w:rFonts w:asciiTheme="minorHAnsi" w:hAnsiTheme="minorHAnsi" w:cs="Segoe UI"/>
          <w:sz w:val="22"/>
          <w:szCs w:val="22"/>
        </w:rPr>
      </w:pPr>
      <w:r w:rsidRPr="00B41B48">
        <w:rPr>
          <w:rFonts w:asciiTheme="minorHAnsi" w:hAnsiTheme="minorHAnsi" w:cs="Segoe UI"/>
          <w:sz w:val="22"/>
          <w:szCs w:val="22"/>
        </w:rPr>
        <w:t>For HCP, active monitoring can be delegated by the health department to the HCP’s healthcare facility occupational health or infection control program, if both the health department and the facility are in agreement. Note, inter-jurisdictional coordination will be needed if HCP live in a different local health jurisdiction than where the healthcare facility is located.</w:t>
      </w:r>
    </w:p>
    <w:p w14:paraId="439CA14F" w14:textId="77777777" w:rsidR="00B41B48" w:rsidRPr="00B41B48" w:rsidRDefault="00B41B48" w:rsidP="00B41B48">
      <w:pPr>
        <w:pStyle w:val="NormalWeb"/>
        <w:shd w:val="clear" w:color="auto" w:fill="FFFFFF"/>
        <w:spacing w:before="0" w:beforeAutospacing="0"/>
        <w:rPr>
          <w:rFonts w:asciiTheme="minorHAnsi" w:hAnsiTheme="minorHAnsi" w:cs="Segoe UI"/>
          <w:sz w:val="22"/>
          <w:szCs w:val="22"/>
        </w:rPr>
      </w:pPr>
      <w:r w:rsidRPr="00B41B48">
        <w:rPr>
          <w:rStyle w:val="Emphasis"/>
          <w:rFonts w:asciiTheme="minorHAnsi" w:hAnsiTheme="minorHAnsi" w:cs="Segoe UI"/>
          <w:b/>
          <w:bCs/>
          <w:sz w:val="22"/>
          <w:szCs w:val="22"/>
        </w:rPr>
        <w:t>Self-Monitoring with delegated supervision </w:t>
      </w:r>
      <w:r w:rsidRPr="00B41B48">
        <w:rPr>
          <w:rFonts w:asciiTheme="minorHAnsi" w:hAnsiTheme="minorHAnsi" w:cs="Segoe UI"/>
          <w:sz w:val="22"/>
          <w:szCs w:val="22"/>
        </w:rPr>
        <w:t>in a healthcare setting means HCP perform self-monitoring with oversight by their healthcare facility’s occupational health or infection control program in coordination with the health department of jurisdiction, if both the health department and the facility are in agreement. On days HCP are scheduled to work, healthcare facilities could consider measuring temperature and assessing symptoms prior to starting work. Alternatively, a facility may consider having HCP report temperature and absence of symptoms to occupational health prior to starting work. Modes of communication may include telephone calls or any electronic or internet-based means of communication.</w:t>
      </w:r>
    </w:p>
    <w:p w14:paraId="6AE52598" w14:textId="63A912FF" w:rsidR="00B41B48" w:rsidRPr="00B41B48" w:rsidRDefault="00B41B48" w:rsidP="00B41B48">
      <w:pPr>
        <w:pStyle w:val="NormalWeb"/>
        <w:shd w:val="clear" w:color="auto" w:fill="FFFFFF"/>
        <w:spacing w:before="0" w:beforeAutospacing="0"/>
        <w:rPr>
          <w:rFonts w:asciiTheme="minorHAnsi" w:hAnsiTheme="minorHAnsi" w:cs="Segoe UI"/>
          <w:sz w:val="22"/>
          <w:szCs w:val="22"/>
        </w:rPr>
      </w:pPr>
      <w:r w:rsidRPr="00B41B48">
        <w:rPr>
          <w:rFonts w:asciiTheme="minorHAnsi" w:hAnsiTheme="minorHAnsi" w:cs="Segoe UI"/>
          <w:sz w:val="22"/>
          <w:szCs w:val="22"/>
        </w:rPr>
        <w:t>Occupational health or infection control personnel should establish points of contact between the organization, the self-monitoring personnel, and the local or state health departments of authority in the location where self-monitoring personnel will be during the self-monitoring period. This communication should result in agreement on a plan for medical evaluation of personnel who develop fever or symptoms of COVID-19 (e.g., cough, shortness of breath, sore throat, myalgias, malaise) during the self-monitoring period. The plan should include instructions for notifying occupational health and the local public health authority, and transportation arrangements to a designated hospital, if medically necessary, with advance notice if fever or symptoms of COVID-19 occur. The supervising organization should remain in contact with HCP through the self-monitoring period to manage self-monitoring activities and provide timely and appropriate follow-up if symptoms occur in a HCP. Note, inter-jurisdictional coordination will be needed if HCP live in a different local health jurisdiction than where the healthcare facility is located.</w:t>
      </w:r>
    </w:p>
    <w:p w14:paraId="73E02683" w14:textId="77777777" w:rsidR="00B41B48" w:rsidRPr="00B41B48" w:rsidRDefault="00B41B48" w:rsidP="00B41B48">
      <w:pPr>
        <w:pStyle w:val="NormalWeb"/>
        <w:shd w:val="clear" w:color="auto" w:fill="FFFFFF"/>
        <w:spacing w:before="0" w:beforeAutospacing="0"/>
        <w:rPr>
          <w:rFonts w:asciiTheme="minorHAnsi" w:hAnsiTheme="minorHAnsi" w:cs="Segoe UI"/>
          <w:sz w:val="22"/>
          <w:szCs w:val="22"/>
        </w:rPr>
      </w:pPr>
      <w:r w:rsidRPr="00B41B48">
        <w:rPr>
          <w:rStyle w:val="Emphasis"/>
          <w:rFonts w:asciiTheme="minorHAnsi" w:hAnsiTheme="minorHAnsi" w:cs="Segoe UI"/>
          <w:b/>
          <w:bCs/>
          <w:sz w:val="22"/>
          <w:szCs w:val="22"/>
        </w:rPr>
        <w:t>Close contact</w:t>
      </w:r>
      <w:r w:rsidRPr="00B41B48">
        <w:rPr>
          <w:rStyle w:val="Strong"/>
          <w:rFonts w:asciiTheme="minorHAnsi" w:hAnsiTheme="minorHAnsi" w:cs="Segoe UI"/>
          <w:sz w:val="22"/>
          <w:szCs w:val="22"/>
        </w:rPr>
        <w:t> </w:t>
      </w:r>
      <w:r w:rsidRPr="00B41B48">
        <w:rPr>
          <w:rFonts w:asciiTheme="minorHAnsi" w:hAnsiTheme="minorHAnsi" w:cs="Segoe UI"/>
          <w:sz w:val="22"/>
          <w:szCs w:val="22"/>
        </w:rPr>
        <w:t>for healthcare exposures is defined as follows: a) being within approximately 6 feet (2 meters) of a person with COVID-19 for a prolonged period of time (such as caring for or visiting the patient; or sitting within 6 feet of the patient in a healthcare waiting area or room); or b) having unprotected direct contact with infectious secretions or excretions of the patient (e.g., being coughed on, touching used tissues with a bare hand).</w:t>
      </w:r>
    </w:p>
    <w:p w14:paraId="793257D0" w14:textId="77777777" w:rsidR="00B41B48" w:rsidRPr="00B41B48" w:rsidRDefault="00B41B48" w:rsidP="00B41B48">
      <w:pPr>
        <w:pStyle w:val="NormalWeb"/>
        <w:shd w:val="clear" w:color="auto" w:fill="FFFFFF"/>
        <w:spacing w:before="0" w:beforeAutospacing="0"/>
        <w:rPr>
          <w:rFonts w:asciiTheme="minorHAnsi" w:hAnsiTheme="minorHAnsi" w:cs="Segoe UI"/>
          <w:sz w:val="22"/>
          <w:szCs w:val="22"/>
        </w:rPr>
      </w:pPr>
      <w:r w:rsidRPr="00B41B48">
        <w:rPr>
          <w:rFonts w:asciiTheme="minorHAnsi" w:hAnsiTheme="minorHAnsi" w:cs="Segoe UI"/>
          <w:sz w:val="22"/>
          <w:szCs w:val="22"/>
        </w:rPr>
        <w:t xml:space="preserve">Data are limited for definitions of close contact. Factors for consideration include the duration of exposure (e.g., longer exposure time likely increases exposure risk), clinical symptoms of the patient (e.g., coughing likely increases exposure </w:t>
      </w:r>
      <w:r w:rsidRPr="00B41B48">
        <w:rPr>
          <w:rFonts w:asciiTheme="minorHAnsi" w:hAnsiTheme="minorHAnsi" w:cs="Segoe UI"/>
          <w:sz w:val="22"/>
          <w:szCs w:val="22"/>
        </w:rPr>
        <w:lastRenderedPageBreak/>
        <w:t>risk) and whether the patient was wearing a cloth face covering or facemask (which helps block respiratory secretions from contaminating others and the environment), PPE used by personnel, and whether aerosol generating procedures were performed.</w:t>
      </w:r>
    </w:p>
    <w:p w14:paraId="1B5FB9E1" w14:textId="77777777" w:rsidR="00B41B48" w:rsidRPr="00B41B48" w:rsidRDefault="00B41B48" w:rsidP="00B41B48">
      <w:pPr>
        <w:pStyle w:val="NormalWeb"/>
        <w:shd w:val="clear" w:color="auto" w:fill="FFFFFF"/>
        <w:spacing w:before="0" w:beforeAutospacing="0"/>
        <w:rPr>
          <w:rFonts w:asciiTheme="minorHAnsi" w:hAnsiTheme="minorHAnsi" w:cs="Segoe UI"/>
          <w:sz w:val="22"/>
          <w:szCs w:val="22"/>
        </w:rPr>
      </w:pPr>
      <w:r w:rsidRPr="00B41B48">
        <w:rPr>
          <w:rFonts w:asciiTheme="minorHAnsi" w:hAnsiTheme="minorHAnsi" w:cs="Segoe UI"/>
          <w:sz w:val="22"/>
          <w:szCs w:val="22"/>
        </w:rPr>
        <w:t>Data are insufficient to precisely define the duration of time that constitutes a prolonged exposure. However, until more is known about transmission risks, it is reasonable to consider an exposure greater than a few minutes as a prolonged exposure. Brief interactions are less likely to result in transmission; however, clinical symptoms of the patient and type of interaction (e.g., did the patient cough directly into the face of the HCP) remain important. Recommendations will be updated as more information becomes available.</w:t>
      </w:r>
    </w:p>
    <w:p w14:paraId="426AB532" w14:textId="77777777" w:rsidR="00B41B48" w:rsidRPr="00B41B48" w:rsidRDefault="00B41B48" w:rsidP="00B41B48">
      <w:pPr>
        <w:pStyle w:val="NormalWeb"/>
        <w:shd w:val="clear" w:color="auto" w:fill="FFFFFF"/>
        <w:spacing w:before="0" w:beforeAutospacing="0"/>
        <w:rPr>
          <w:rFonts w:asciiTheme="minorHAnsi" w:hAnsiTheme="minorHAnsi" w:cs="Segoe UI"/>
          <w:sz w:val="22"/>
          <w:szCs w:val="22"/>
        </w:rPr>
      </w:pPr>
      <w:r w:rsidRPr="00B41B48">
        <w:rPr>
          <w:rFonts w:asciiTheme="minorHAnsi" w:hAnsiTheme="minorHAnsi" w:cs="Segoe UI"/>
          <w:sz w:val="22"/>
          <w:szCs w:val="22"/>
        </w:rPr>
        <w:t>Risk stratification can be made in consultation with public health authorities. Examples of brief interactions include: briefly entering the patient room without having direct contact with the patient or their secretions/excretions, brief conversation at a triage desk with a patient who was not wearing a cloth face covering or facemask. See Table 1 for more detailed information.</w:t>
      </w:r>
    </w:p>
    <w:p w14:paraId="7024248C" w14:textId="0D55DF74" w:rsidR="009C1E7F" w:rsidRPr="00B41B48" w:rsidRDefault="00B41B48" w:rsidP="00B41B48">
      <w:pPr>
        <w:pStyle w:val="NormalWeb"/>
        <w:shd w:val="clear" w:color="auto" w:fill="FFFFFF"/>
        <w:spacing w:before="0" w:beforeAutospacing="0"/>
        <w:rPr>
          <w:rFonts w:asciiTheme="minorHAnsi" w:hAnsiTheme="minorHAnsi" w:cs="Segoe UI"/>
          <w:sz w:val="22"/>
          <w:szCs w:val="22"/>
        </w:rPr>
      </w:pPr>
      <w:r w:rsidRPr="00B41B48">
        <w:rPr>
          <w:rStyle w:val="Emphasis"/>
          <w:rFonts w:asciiTheme="minorHAnsi" w:hAnsiTheme="minorHAnsi" w:cs="Segoe UI"/>
          <w:b/>
          <w:bCs/>
          <w:sz w:val="22"/>
          <w:szCs w:val="22"/>
        </w:rPr>
        <w:t>Healthcare Personnel</w:t>
      </w:r>
      <w:r w:rsidRPr="00B41B48">
        <w:rPr>
          <w:rFonts w:asciiTheme="minorHAnsi" w:hAnsiTheme="minorHAnsi" w:cs="Segoe UI"/>
          <w:sz w:val="22"/>
          <w:szCs w:val="22"/>
        </w:rPr>
        <w:t>: For the purposes of this document, HCP refers to all paid and unpaid persons serving in healthcare settings who have the potential for direct or indirect exposure to patients or infectious materials, including body substances; contaminated medical supplies, devices, and equipment; contaminated environmental surfaces; or contaminated air. For this document, HCP does not include clinical laboratory personnel.</w:t>
      </w:r>
    </w:p>
    <w:p w14:paraId="6CE1C471" w14:textId="22933E7D" w:rsidR="00B41B48" w:rsidRDefault="00B41B48" w:rsidP="00B41B48">
      <w:pPr>
        <w:pStyle w:val="Heading4"/>
        <w:shd w:val="clear" w:color="auto" w:fill="FFFFFF"/>
        <w:rPr>
          <w:rFonts w:asciiTheme="minorHAnsi" w:hAnsiTheme="minorHAnsi"/>
          <w:b/>
          <w:bCs/>
          <w:color w:val="1F497D" w:themeColor="text2"/>
        </w:rPr>
      </w:pPr>
      <w:r w:rsidRPr="00E92DF8">
        <w:rPr>
          <w:rFonts w:asciiTheme="minorHAnsi" w:hAnsiTheme="minorHAnsi"/>
          <w:b/>
          <w:bCs/>
          <w:color w:val="1F497D" w:themeColor="text2"/>
        </w:rPr>
        <w:t>II. Defining Exposure Risk Category</w:t>
      </w:r>
    </w:p>
    <w:p w14:paraId="05D0FABC" w14:textId="77777777" w:rsidR="00E92DF8" w:rsidRPr="00E92DF8" w:rsidRDefault="00E92DF8" w:rsidP="00E92DF8">
      <w:pPr>
        <w:spacing w:after="0"/>
      </w:pPr>
    </w:p>
    <w:p w14:paraId="2C3A0D73" w14:textId="77777777" w:rsidR="00B41B48" w:rsidRPr="00B41B48" w:rsidRDefault="00B41B48" w:rsidP="00B41B48">
      <w:pPr>
        <w:pStyle w:val="NormalWeb"/>
        <w:shd w:val="clear" w:color="auto" w:fill="FFFFFF"/>
        <w:spacing w:before="0" w:beforeAutospacing="0"/>
        <w:rPr>
          <w:rFonts w:asciiTheme="minorHAnsi" w:hAnsiTheme="minorHAnsi" w:cs="Segoe UI"/>
          <w:sz w:val="22"/>
          <w:szCs w:val="22"/>
        </w:rPr>
      </w:pPr>
      <w:r w:rsidRPr="00B41B48">
        <w:rPr>
          <w:rFonts w:asciiTheme="minorHAnsi" w:hAnsiTheme="minorHAnsi" w:cs="Segoe UI"/>
          <w:sz w:val="22"/>
          <w:szCs w:val="22"/>
        </w:rPr>
        <w:t>While body fluids other than respiratory secretions have not been clearly implicated in transmission of COVID-19, unprotected contact with other body fluids, including blood, stool, vomit, and urine, might put HCP at risk of COVID-19.</w:t>
      </w:r>
    </w:p>
    <w:p w14:paraId="4A22CBEB" w14:textId="77777777" w:rsidR="00B41B48" w:rsidRPr="00B41B48" w:rsidRDefault="00B41B48" w:rsidP="00B41B48">
      <w:pPr>
        <w:pStyle w:val="NormalWeb"/>
        <w:shd w:val="clear" w:color="auto" w:fill="FFFFFF"/>
        <w:spacing w:before="0" w:beforeAutospacing="0"/>
        <w:rPr>
          <w:rFonts w:asciiTheme="minorHAnsi" w:hAnsiTheme="minorHAnsi" w:cs="Segoe UI"/>
          <w:sz w:val="22"/>
          <w:szCs w:val="22"/>
        </w:rPr>
      </w:pPr>
      <w:r w:rsidRPr="00B41B48">
        <w:rPr>
          <w:rFonts w:asciiTheme="minorHAnsi" w:hAnsiTheme="minorHAnsi" w:cs="Segoe UI"/>
          <w:sz w:val="22"/>
          <w:szCs w:val="22"/>
        </w:rPr>
        <w:t>Table 1 describes possible scenarios that can be used to assist with risk assessment. These scenarios do not cover all potential exposure scenarios and should not replace an individual assessment of risk for the purpose of clinical decision making or individualized public health management. Any public health decisions that place restrictions on an individual’s or group’s movements or impose specific monitoring requirements should be based on an assessment of risk for the individual or group. Healthcare facilities, in consultation with public health authorities should use the concepts outlined in this guidance along with clinical judgement to assign risk and determine need for work restrictions.</w:t>
      </w:r>
    </w:p>
    <w:p w14:paraId="33F5D9BA" w14:textId="77777777" w:rsidR="00B41B48" w:rsidRPr="00B41B48" w:rsidRDefault="00B41B48" w:rsidP="00B41B48">
      <w:pPr>
        <w:pStyle w:val="NormalWeb"/>
        <w:shd w:val="clear" w:color="auto" w:fill="FFFFFF"/>
        <w:spacing w:before="0" w:beforeAutospacing="0"/>
        <w:rPr>
          <w:rFonts w:asciiTheme="minorHAnsi" w:hAnsiTheme="minorHAnsi" w:cs="Segoe UI"/>
          <w:sz w:val="22"/>
          <w:szCs w:val="22"/>
        </w:rPr>
      </w:pPr>
      <w:r w:rsidRPr="00B41B48">
        <w:rPr>
          <w:rFonts w:asciiTheme="minorHAnsi" w:hAnsiTheme="minorHAnsi" w:cs="Segoe UI"/>
          <w:sz w:val="22"/>
          <w:szCs w:val="22"/>
        </w:rPr>
        <w:t>For this guidance </w:t>
      </w:r>
      <w:r w:rsidRPr="00B41B48">
        <w:rPr>
          <w:rStyle w:val="Emphasis"/>
          <w:rFonts w:asciiTheme="minorHAnsi" w:hAnsiTheme="minorHAnsi" w:cs="Segoe UI"/>
          <w:sz w:val="22"/>
          <w:szCs w:val="22"/>
        </w:rPr>
        <w:t>high-risk</w:t>
      </w:r>
      <w:r w:rsidRPr="00B41B48">
        <w:rPr>
          <w:rFonts w:asciiTheme="minorHAnsi" w:hAnsiTheme="minorHAnsi" w:cs="Segoe UI"/>
          <w:sz w:val="22"/>
          <w:szCs w:val="22"/>
        </w:rPr>
        <w:t> exposures refer to HCP who have had prolonged close contact with patients with COVID-19 (beginning 48 hours before onset of symptoms) who were not wearing a cloth face covering or facemask while HCP nose and mouth were exposed to material potentially infectious with the virus causing COVID-19. Being present in the room for procedures that generate aerosols or during which respiratory secretions are likely to be poorly controlled (e.g., cardiopulmonary resuscitation, intubation, extubation, bronchoscopy, nebulizer therapy, sputum induction) on patients with COVID-19 (beginning 48 hours before onset of symptoms) when the healthcare providers’ eyes, nose, or mouth were not protected, is also considered </w:t>
      </w:r>
      <w:r w:rsidRPr="00B41B48">
        <w:rPr>
          <w:rStyle w:val="Emphasis"/>
          <w:rFonts w:asciiTheme="minorHAnsi" w:hAnsiTheme="minorHAnsi" w:cs="Segoe UI"/>
          <w:sz w:val="22"/>
          <w:szCs w:val="22"/>
        </w:rPr>
        <w:t>high-risk</w:t>
      </w:r>
      <w:r w:rsidRPr="00B41B48">
        <w:rPr>
          <w:rFonts w:asciiTheme="minorHAnsi" w:hAnsiTheme="minorHAnsi" w:cs="Segoe UI"/>
          <w:sz w:val="22"/>
          <w:szCs w:val="22"/>
        </w:rPr>
        <w:t>.</w:t>
      </w:r>
    </w:p>
    <w:p w14:paraId="79AE88DD" w14:textId="77777777" w:rsidR="00B41B48" w:rsidRPr="00B41B48" w:rsidRDefault="00B41B48" w:rsidP="00B41B48">
      <w:pPr>
        <w:pStyle w:val="NormalWeb"/>
        <w:shd w:val="clear" w:color="auto" w:fill="FFFFFF"/>
        <w:spacing w:before="0" w:beforeAutospacing="0"/>
        <w:rPr>
          <w:rFonts w:asciiTheme="minorHAnsi" w:hAnsiTheme="minorHAnsi" w:cs="Segoe UI"/>
          <w:sz w:val="22"/>
          <w:szCs w:val="22"/>
        </w:rPr>
      </w:pPr>
      <w:r w:rsidRPr="00B41B48">
        <w:rPr>
          <w:rStyle w:val="Emphasis"/>
          <w:rFonts w:asciiTheme="minorHAnsi" w:hAnsiTheme="minorHAnsi" w:cs="Segoe UI"/>
          <w:sz w:val="22"/>
          <w:szCs w:val="22"/>
        </w:rPr>
        <w:t>Medium-risk</w:t>
      </w:r>
      <w:r w:rsidRPr="00B41B48">
        <w:rPr>
          <w:rFonts w:asciiTheme="minorHAnsi" w:hAnsiTheme="minorHAnsi" w:cs="Segoe UI"/>
          <w:sz w:val="22"/>
          <w:szCs w:val="22"/>
        </w:rPr>
        <w:t> exposures generally include HCP who had prolonged close contact with patients with COVID-19 (beginning 48 hours before onset of symptoms) who were wearing a cloth face covering or facemask while HCP nose and mouth were exposed to material potentially infectious with the virus causing COVID-19. Some </w:t>
      </w:r>
      <w:r w:rsidRPr="00B41B48">
        <w:rPr>
          <w:rStyle w:val="Emphasis"/>
          <w:rFonts w:asciiTheme="minorHAnsi" w:hAnsiTheme="minorHAnsi" w:cs="Segoe UI"/>
          <w:sz w:val="22"/>
          <w:szCs w:val="22"/>
        </w:rPr>
        <w:t>low-risk</w:t>
      </w:r>
      <w:r w:rsidRPr="00B41B48">
        <w:rPr>
          <w:rFonts w:asciiTheme="minorHAnsi" w:hAnsiTheme="minorHAnsi" w:cs="Segoe UI"/>
          <w:sz w:val="22"/>
          <w:szCs w:val="22"/>
        </w:rPr>
        <w:t> exposures are considered </w:t>
      </w:r>
      <w:r w:rsidRPr="00B41B48">
        <w:rPr>
          <w:rStyle w:val="Emphasis"/>
          <w:rFonts w:asciiTheme="minorHAnsi" w:hAnsiTheme="minorHAnsi" w:cs="Segoe UI"/>
          <w:sz w:val="22"/>
          <w:szCs w:val="22"/>
        </w:rPr>
        <w:t>medium-risk</w:t>
      </w:r>
      <w:r w:rsidRPr="00B41B48">
        <w:rPr>
          <w:rFonts w:asciiTheme="minorHAnsi" w:hAnsiTheme="minorHAnsi" w:cs="Segoe UI"/>
          <w:sz w:val="22"/>
          <w:szCs w:val="22"/>
        </w:rPr>
        <w:t> depending on the type of care activity performed. For example, HCP who were wearing a gown, gloves, eye protection and a facemask (instead of a respirator) during an aerosol generating procedure would be considered to have a medium-risk exposure. If an AGP had not been performed, they would have been considered </w:t>
      </w:r>
      <w:r w:rsidRPr="00B41B48">
        <w:rPr>
          <w:rStyle w:val="Emphasis"/>
          <w:rFonts w:asciiTheme="minorHAnsi" w:hAnsiTheme="minorHAnsi" w:cs="Segoe UI"/>
          <w:sz w:val="22"/>
          <w:szCs w:val="22"/>
        </w:rPr>
        <w:t>low-risk</w:t>
      </w:r>
      <w:r w:rsidRPr="00B41B48">
        <w:rPr>
          <w:rFonts w:asciiTheme="minorHAnsi" w:hAnsiTheme="minorHAnsi" w:cs="Segoe UI"/>
          <w:sz w:val="22"/>
          <w:szCs w:val="22"/>
        </w:rPr>
        <w:t>. See Table 1 for additional examples.</w:t>
      </w:r>
    </w:p>
    <w:p w14:paraId="37C56D63" w14:textId="77777777" w:rsidR="00B41B48" w:rsidRPr="00B41B48" w:rsidRDefault="00B41B48" w:rsidP="00B41B48">
      <w:pPr>
        <w:pStyle w:val="NormalWeb"/>
        <w:shd w:val="clear" w:color="auto" w:fill="FFFFFF"/>
        <w:spacing w:before="0" w:beforeAutospacing="0"/>
        <w:rPr>
          <w:rFonts w:asciiTheme="minorHAnsi" w:hAnsiTheme="minorHAnsi" w:cs="Segoe UI"/>
          <w:sz w:val="22"/>
          <w:szCs w:val="22"/>
        </w:rPr>
      </w:pPr>
      <w:r w:rsidRPr="00B41B48">
        <w:rPr>
          <w:rStyle w:val="Emphasis"/>
          <w:rFonts w:asciiTheme="minorHAnsi" w:hAnsiTheme="minorHAnsi" w:cs="Segoe UI"/>
          <w:sz w:val="22"/>
          <w:szCs w:val="22"/>
        </w:rPr>
        <w:t>Low-risk</w:t>
      </w:r>
      <w:r w:rsidRPr="00B41B48">
        <w:rPr>
          <w:rFonts w:asciiTheme="minorHAnsi" w:hAnsiTheme="minorHAnsi" w:cs="Segoe UI"/>
          <w:sz w:val="22"/>
          <w:szCs w:val="22"/>
        </w:rPr>
        <w:t xml:space="preserve"> exposures generally refer to brief interactions with patients with COVID-19 (beginning 48 hours before onset of symptoms) or prolonged close contact with patients (beginning 48 hours before onset of symptoms) who were wearing </w:t>
      </w:r>
      <w:r w:rsidRPr="00B41B48">
        <w:rPr>
          <w:rFonts w:asciiTheme="minorHAnsi" w:hAnsiTheme="minorHAnsi" w:cs="Segoe UI"/>
          <w:sz w:val="22"/>
          <w:szCs w:val="22"/>
        </w:rPr>
        <w:lastRenderedPageBreak/>
        <w:t>a cloth face covering or facemask for source control while HCP were wearing a facemask or respirator. Use of eye protection in addition to a facemask or respirator would further lower the risk of exposure.</w:t>
      </w:r>
    </w:p>
    <w:p w14:paraId="2C024668" w14:textId="77777777" w:rsidR="00B41B48" w:rsidRPr="00B41B48" w:rsidRDefault="00B41B48" w:rsidP="00B41B48">
      <w:pPr>
        <w:pStyle w:val="NormalWeb"/>
        <w:shd w:val="clear" w:color="auto" w:fill="FFFFFF"/>
        <w:spacing w:before="0" w:beforeAutospacing="0"/>
        <w:rPr>
          <w:rFonts w:asciiTheme="minorHAnsi" w:hAnsiTheme="minorHAnsi" w:cs="Segoe UI"/>
          <w:sz w:val="22"/>
          <w:szCs w:val="22"/>
        </w:rPr>
      </w:pPr>
      <w:r w:rsidRPr="00B41B48">
        <w:rPr>
          <w:rFonts w:asciiTheme="minorHAnsi" w:hAnsiTheme="minorHAnsi" w:cs="Segoe UI"/>
          <w:sz w:val="22"/>
          <w:szCs w:val="22"/>
        </w:rPr>
        <w:t>Proper adherence to currently recommended infection control practices, including all recommended PPE, should protect HCP having prolonged close contact with patients infected with COVID-19. However, to account for any inconsistencies in use or adherence that could result in unrecognized exposures, HCP should still perform self-monitoring with delegated supervision.</w:t>
      </w:r>
    </w:p>
    <w:p w14:paraId="6E53DCA5" w14:textId="77777777" w:rsidR="00B41B48" w:rsidRPr="00B41B48" w:rsidRDefault="00B41B48" w:rsidP="00B41B48">
      <w:pPr>
        <w:pStyle w:val="NormalWeb"/>
        <w:shd w:val="clear" w:color="auto" w:fill="FFFFFF"/>
        <w:spacing w:before="0" w:beforeAutospacing="0"/>
        <w:rPr>
          <w:rFonts w:asciiTheme="minorHAnsi" w:hAnsiTheme="minorHAnsi" w:cs="Segoe UI"/>
          <w:sz w:val="22"/>
          <w:szCs w:val="22"/>
        </w:rPr>
      </w:pPr>
      <w:r w:rsidRPr="00B41B48">
        <w:rPr>
          <w:rFonts w:asciiTheme="minorHAnsi" w:hAnsiTheme="minorHAnsi" w:cs="Segoe UI"/>
          <w:sz w:val="22"/>
          <w:szCs w:val="22"/>
        </w:rPr>
        <w:t>HCP with no direct patient contact and no entry into active patient management areas who adhere to routine safety precautions do not have a risk of exposure to COVID-19 (i.e., they have </w:t>
      </w:r>
      <w:r w:rsidRPr="00B41B48">
        <w:rPr>
          <w:rStyle w:val="Emphasis"/>
          <w:rFonts w:asciiTheme="minorHAnsi" w:hAnsiTheme="minorHAnsi" w:cs="Segoe UI"/>
          <w:sz w:val="22"/>
          <w:szCs w:val="22"/>
        </w:rPr>
        <w:t>no identifiable risk</w:t>
      </w:r>
      <w:r w:rsidRPr="00B41B48">
        <w:rPr>
          <w:rFonts w:asciiTheme="minorHAnsi" w:hAnsiTheme="minorHAnsi" w:cs="Segoe UI"/>
          <w:sz w:val="22"/>
          <w:szCs w:val="22"/>
        </w:rPr>
        <w:t>).</w:t>
      </w:r>
    </w:p>
    <w:p w14:paraId="2244901E" w14:textId="77777777" w:rsidR="00B41B48" w:rsidRPr="00B41B48" w:rsidRDefault="00B41B48" w:rsidP="00B41B48">
      <w:pPr>
        <w:pStyle w:val="NormalWeb"/>
        <w:shd w:val="clear" w:color="auto" w:fill="FFFFFF"/>
        <w:spacing w:before="0" w:beforeAutospacing="0"/>
        <w:rPr>
          <w:rFonts w:asciiTheme="minorHAnsi" w:hAnsiTheme="minorHAnsi" w:cs="Segoe UI"/>
          <w:sz w:val="22"/>
          <w:szCs w:val="22"/>
        </w:rPr>
      </w:pPr>
      <w:r w:rsidRPr="00B41B48">
        <w:rPr>
          <w:rStyle w:val="Emphasis"/>
          <w:rFonts w:asciiTheme="minorHAnsi" w:hAnsiTheme="minorHAnsi" w:cs="Segoe UI"/>
          <w:sz w:val="22"/>
          <w:szCs w:val="22"/>
        </w:rPr>
        <w:t>Currently, this guidance applies to HCP with potential exposure in a healthcare setting to patients with confirmed COVID-19. However, HCP exposures could involve a person under investigation (PUI) who is awaiting testing. Implementation of monitoring and work restrictions described in this guidance could be applied to HCP exposed to a PUI if test results for the PUI are not expected to return within 48 to 72 hours. A record of HCP exposed to a PUI should be maintained and HCP should be encouraged to perform self- monitoring while awaiting test results. If the results will be delayed more than 72 hours or the patient is positive for COVID-19, then the monitoring and work restrictions described in this document should be followed.</w:t>
      </w:r>
    </w:p>
    <w:p w14:paraId="3B599136" w14:textId="77777777" w:rsidR="00B41B48" w:rsidRPr="00B41B48" w:rsidRDefault="00B41B48" w:rsidP="00B41B48">
      <w:pPr>
        <w:pStyle w:val="NormalWeb"/>
        <w:shd w:val="clear" w:color="auto" w:fill="FFFFFF"/>
        <w:spacing w:before="0" w:beforeAutospacing="0"/>
        <w:rPr>
          <w:rFonts w:asciiTheme="minorHAnsi" w:hAnsiTheme="minorHAnsi" w:cs="Segoe UI"/>
          <w:sz w:val="22"/>
          <w:szCs w:val="22"/>
        </w:rPr>
      </w:pPr>
      <w:r w:rsidRPr="00B41B48">
        <w:rPr>
          <w:rStyle w:val="Strong"/>
          <w:rFonts w:asciiTheme="minorHAnsi" w:hAnsiTheme="minorHAnsi" w:cs="Segoe UI"/>
          <w:sz w:val="22"/>
          <w:szCs w:val="22"/>
        </w:rPr>
        <w:t>Table 1: Epidemiologic Risk Classification</w:t>
      </w:r>
      <w:r w:rsidRPr="00B41B48">
        <w:rPr>
          <w:rStyle w:val="Strong"/>
          <w:rFonts w:asciiTheme="minorHAnsi" w:hAnsiTheme="minorHAnsi" w:cs="Segoe UI"/>
          <w:sz w:val="22"/>
          <w:szCs w:val="22"/>
          <w:vertAlign w:val="superscript"/>
        </w:rPr>
        <w:t>1</w:t>
      </w:r>
      <w:r w:rsidRPr="00B41B48">
        <w:rPr>
          <w:rStyle w:val="Strong"/>
          <w:rFonts w:asciiTheme="minorHAnsi" w:hAnsiTheme="minorHAnsi" w:cs="Segoe UI"/>
          <w:sz w:val="22"/>
          <w:szCs w:val="22"/>
        </w:rPr>
        <w:t> for Asymptomatic Healthcare Personnel Following Exposure to Patients with Coronavirus Disease 2019 (COVID-19) or their Secretions/Excretions in a Healthcare Setting, and their Associated Monitoring and Work Restriction Recommendations</w:t>
      </w:r>
    </w:p>
    <w:p w14:paraId="762494F0" w14:textId="77777777" w:rsidR="00B41B48" w:rsidRPr="00B41B48" w:rsidRDefault="00B41B48" w:rsidP="00B41B48">
      <w:pPr>
        <w:pStyle w:val="NormalWeb"/>
        <w:shd w:val="clear" w:color="auto" w:fill="FFFFFF"/>
        <w:spacing w:before="0" w:beforeAutospacing="0"/>
        <w:rPr>
          <w:rFonts w:asciiTheme="minorHAnsi" w:hAnsiTheme="minorHAnsi" w:cs="Segoe UI"/>
          <w:sz w:val="22"/>
          <w:szCs w:val="22"/>
        </w:rPr>
      </w:pPr>
      <w:r w:rsidRPr="00B41B48">
        <w:rPr>
          <w:rStyle w:val="Emphasis"/>
          <w:rFonts w:asciiTheme="minorHAnsi" w:hAnsiTheme="minorHAnsi" w:cs="Segoe UI"/>
          <w:sz w:val="22"/>
          <w:szCs w:val="22"/>
        </w:rPr>
        <w:t>The highest risk exposure category that applies to each person should be used to guide monitoring and work restrictions.</w:t>
      </w:r>
    </w:p>
    <w:p w14:paraId="02E0CF86" w14:textId="2A6735AB" w:rsidR="00B41B48" w:rsidRDefault="00B41B48" w:rsidP="00B41B48">
      <w:pPr>
        <w:pStyle w:val="NormalWeb"/>
        <w:shd w:val="clear" w:color="auto" w:fill="FFFFFF"/>
        <w:spacing w:before="0" w:beforeAutospacing="0"/>
        <w:rPr>
          <w:rStyle w:val="Emphasis"/>
          <w:rFonts w:asciiTheme="minorHAnsi" w:hAnsiTheme="minorHAnsi" w:cs="Segoe UI"/>
          <w:sz w:val="22"/>
          <w:szCs w:val="22"/>
        </w:rPr>
        <w:sectPr w:rsidR="00B41B48" w:rsidSect="00C540A2">
          <w:pgSz w:w="12240" w:h="15840"/>
          <w:pgMar w:top="720" w:right="720" w:bottom="720" w:left="720" w:header="720" w:footer="720" w:gutter="0"/>
          <w:cols w:space="720"/>
          <w:docGrid w:linePitch="360"/>
        </w:sectPr>
      </w:pPr>
      <w:r w:rsidRPr="00B41B48">
        <w:rPr>
          <w:rFonts w:asciiTheme="minorHAnsi" w:hAnsiTheme="minorHAnsi" w:cs="Segoe UI"/>
          <w:sz w:val="22"/>
          <w:szCs w:val="22"/>
        </w:rPr>
        <w:t>Note:  While respirators confer a higher level of protection than facemasks and are recommended when caring for patients with COVID-19, facemasks still confer some level of protection to HCP, which was factored into our assessment of risk.</w:t>
      </w:r>
      <w:r w:rsidRPr="00B41B48">
        <w:rPr>
          <w:rStyle w:val="Emphasis"/>
          <w:rFonts w:asciiTheme="minorHAnsi" w:hAnsiTheme="minorHAnsi" w:cs="Segoe UI"/>
          <w:sz w:val="22"/>
          <w:szCs w:val="22"/>
        </w:rPr>
        <w:t>      </w:t>
      </w:r>
    </w:p>
    <w:tbl>
      <w:tblPr>
        <w:tblW w:w="15135" w:type="dxa"/>
        <w:tblInd w:w="-360" w:type="dxa"/>
        <w:tblCellMar>
          <w:top w:w="15" w:type="dxa"/>
          <w:left w:w="15" w:type="dxa"/>
          <w:bottom w:w="15" w:type="dxa"/>
          <w:right w:w="15" w:type="dxa"/>
        </w:tblCellMar>
        <w:tblLook w:val="04A0" w:firstRow="1" w:lastRow="0" w:firstColumn="1" w:lastColumn="0" w:noHBand="0" w:noVBand="1"/>
      </w:tblPr>
      <w:tblGrid>
        <w:gridCol w:w="4590"/>
        <w:gridCol w:w="2071"/>
        <w:gridCol w:w="4499"/>
        <w:gridCol w:w="3975"/>
      </w:tblGrid>
      <w:tr w:rsidR="00B41B48" w:rsidRPr="00B41B48" w14:paraId="3445D215" w14:textId="77777777" w:rsidTr="00B41B48">
        <w:trPr>
          <w:tblHeader/>
        </w:trPr>
        <w:tc>
          <w:tcPr>
            <w:tcW w:w="15135" w:type="dxa"/>
            <w:gridSpan w:val="4"/>
            <w:tcBorders>
              <w:top w:val="nil"/>
              <w:left w:val="nil"/>
              <w:bottom w:val="nil"/>
              <w:right w:val="nil"/>
            </w:tcBorders>
            <w:vAlign w:val="center"/>
            <w:hideMark/>
          </w:tcPr>
          <w:p w14:paraId="6EEDCFB2" w14:textId="77777777" w:rsidR="00B41B48" w:rsidRPr="00B41B48" w:rsidRDefault="00B41B48" w:rsidP="00B41B48">
            <w:pPr>
              <w:spacing w:after="0"/>
              <w:ind w:left="144" w:right="-15"/>
              <w:rPr>
                <w:b/>
                <w:bCs/>
                <w:color w:val="555555"/>
              </w:rPr>
            </w:pPr>
            <w:r w:rsidRPr="00B41B48">
              <w:rPr>
                <w:b/>
                <w:bCs/>
              </w:rPr>
              <w:lastRenderedPageBreak/>
              <w:t>Table 1: Epidemiologic Risk Classification</w:t>
            </w:r>
            <w:r w:rsidRPr="00B41B48">
              <w:rPr>
                <w:b/>
                <w:bCs/>
                <w:vertAlign w:val="superscript"/>
              </w:rPr>
              <w:t>1</w:t>
            </w:r>
            <w:r w:rsidRPr="00B41B48">
              <w:rPr>
                <w:b/>
                <w:bCs/>
              </w:rPr>
              <w:t> for Asymptomatic Healthcare Personnel Following Exposure to Patients with 2019 Novel Coronavirus (2019-nCoV) Infection or their Secretions/Excretions in a Healthcare Setting, and their Associated Monitoring and Work Restriction Recommendations</w:t>
            </w:r>
          </w:p>
        </w:tc>
      </w:tr>
      <w:tr w:rsidR="00B41B48" w:rsidRPr="00B41B48" w14:paraId="7304D20A" w14:textId="77777777" w:rsidTr="00B41B48">
        <w:trPr>
          <w:tblHeader/>
        </w:trPr>
        <w:tc>
          <w:tcPr>
            <w:tcW w:w="4590" w:type="dxa"/>
            <w:tcBorders>
              <w:top w:val="single" w:sz="6" w:space="0" w:color="DEE2E6"/>
              <w:left w:val="single" w:sz="6" w:space="0" w:color="DEE2E6"/>
              <w:bottom w:val="single" w:sz="12" w:space="0" w:color="DEE2E6"/>
              <w:right w:val="single" w:sz="6" w:space="0" w:color="DEE2E6"/>
            </w:tcBorders>
            <w:shd w:val="clear" w:color="auto" w:fill="244061" w:themeFill="accent1" w:themeFillShade="80"/>
            <w:vAlign w:val="center"/>
            <w:hideMark/>
          </w:tcPr>
          <w:p w14:paraId="75993130" w14:textId="77777777" w:rsidR="00B41B48" w:rsidRPr="00B41B48" w:rsidRDefault="00B41B48" w:rsidP="00B41B48">
            <w:pPr>
              <w:spacing w:after="0"/>
              <w:ind w:left="144"/>
              <w:rPr>
                <w:b/>
                <w:bCs/>
                <w:color w:val="FFFFFF" w:themeColor="background1"/>
              </w:rPr>
            </w:pPr>
            <w:r w:rsidRPr="00B41B48">
              <w:rPr>
                <w:b/>
                <w:bCs/>
                <w:color w:val="FFFFFF" w:themeColor="background1"/>
              </w:rPr>
              <w:t>Epidemiologic risk factors</w:t>
            </w:r>
          </w:p>
        </w:tc>
        <w:tc>
          <w:tcPr>
            <w:tcW w:w="2071" w:type="dxa"/>
            <w:tcBorders>
              <w:top w:val="single" w:sz="6" w:space="0" w:color="DEE2E6"/>
              <w:left w:val="single" w:sz="6" w:space="0" w:color="DEE2E6"/>
              <w:bottom w:val="single" w:sz="12" w:space="0" w:color="DEE2E6"/>
              <w:right w:val="single" w:sz="6" w:space="0" w:color="DEE2E6"/>
            </w:tcBorders>
            <w:shd w:val="clear" w:color="auto" w:fill="244061" w:themeFill="accent1" w:themeFillShade="80"/>
            <w:vAlign w:val="center"/>
            <w:hideMark/>
          </w:tcPr>
          <w:p w14:paraId="1100FC2C" w14:textId="77777777" w:rsidR="00B41B48" w:rsidRPr="00B41B48" w:rsidRDefault="00B41B48" w:rsidP="00B41B48">
            <w:pPr>
              <w:spacing w:after="0"/>
              <w:ind w:left="144"/>
              <w:rPr>
                <w:b/>
                <w:bCs/>
                <w:color w:val="FFFFFF" w:themeColor="background1"/>
              </w:rPr>
            </w:pPr>
            <w:r w:rsidRPr="00B41B48">
              <w:rPr>
                <w:b/>
                <w:bCs/>
                <w:color w:val="FFFFFF" w:themeColor="background1"/>
              </w:rPr>
              <w:t>Exposure </w:t>
            </w:r>
            <w:r w:rsidRPr="00B41B48">
              <w:rPr>
                <w:rStyle w:val="Strong"/>
                <w:color w:val="FFFFFF" w:themeColor="background1"/>
              </w:rPr>
              <w:t>category</w:t>
            </w:r>
          </w:p>
        </w:tc>
        <w:tc>
          <w:tcPr>
            <w:tcW w:w="4499" w:type="dxa"/>
            <w:tcBorders>
              <w:top w:val="single" w:sz="6" w:space="0" w:color="DEE2E6"/>
              <w:left w:val="single" w:sz="6" w:space="0" w:color="DEE2E6"/>
              <w:bottom w:val="single" w:sz="12" w:space="0" w:color="DEE2E6"/>
              <w:right w:val="single" w:sz="6" w:space="0" w:color="DEE2E6"/>
            </w:tcBorders>
            <w:shd w:val="clear" w:color="auto" w:fill="244061" w:themeFill="accent1" w:themeFillShade="80"/>
            <w:vAlign w:val="center"/>
            <w:hideMark/>
          </w:tcPr>
          <w:p w14:paraId="750E4F2C" w14:textId="77777777" w:rsidR="00B41B48" w:rsidRDefault="00B41B48" w:rsidP="00B41B48">
            <w:pPr>
              <w:spacing w:after="0"/>
              <w:ind w:left="144"/>
              <w:rPr>
                <w:b/>
                <w:bCs/>
                <w:color w:val="FFFFFF" w:themeColor="background1"/>
              </w:rPr>
            </w:pPr>
            <w:r w:rsidRPr="00B41B48">
              <w:rPr>
                <w:b/>
                <w:bCs/>
                <w:color w:val="FFFFFF" w:themeColor="background1"/>
              </w:rPr>
              <w:t>Recommended Monitoring for COVID-19 </w:t>
            </w:r>
          </w:p>
          <w:p w14:paraId="6DD6CFAA" w14:textId="00526C38" w:rsidR="00B41B48" w:rsidRPr="00B41B48" w:rsidRDefault="00B41B48" w:rsidP="00B41B48">
            <w:pPr>
              <w:spacing w:after="0"/>
              <w:ind w:left="144"/>
              <w:rPr>
                <w:b/>
                <w:bCs/>
                <w:color w:val="FFFFFF" w:themeColor="background1"/>
              </w:rPr>
            </w:pPr>
            <w:r w:rsidRPr="00B41B48">
              <w:rPr>
                <w:rStyle w:val="Emphasis"/>
                <w:b/>
                <w:bCs/>
                <w:color w:val="FFFFFF" w:themeColor="background1"/>
              </w:rPr>
              <w:t>(until 14 days after last potential exposure)</w:t>
            </w:r>
          </w:p>
        </w:tc>
        <w:tc>
          <w:tcPr>
            <w:tcW w:w="3975" w:type="dxa"/>
            <w:tcBorders>
              <w:top w:val="single" w:sz="6" w:space="0" w:color="DEE2E6"/>
              <w:left w:val="single" w:sz="6" w:space="0" w:color="DEE2E6"/>
              <w:bottom w:val="single" w:sz="12" w:space="0" w:color="DEE2E6"/>
              <w:right w:val="single" w:sz="6" w:space="0" w:color="DEE2E6"/>
            </w:tcBorders>
            <w:shd w:val="clear" w:color="auto" w:fill="244061" w:themeFill="accent1" w:themeFillShade="80"/>
            <w:vAlign w:val="center"/>
            <w:hideMark/>
          </w:tcPr>
          <w:p w14:paraId="64E9A8FD" w14:textId="77777777" w:rsidR="00B41B48" w:rsidRPr="00B41B48" w:rsidRDefault="00B41B48" w:rsidP="00B41B48">
            <w:pPr>
              <w:spacing w:after="0"/>
              <w:ind w:left="144"/>
              <w:rPr>
                <w:b/>
                <w:bCs/>
                <w:color w:val="FFFFFF" w:themeColor="background1"/>
              </w:rPr>
            </w:pPr>
            <w:r w:rsidRPr="00B41B48">
              <w:rPr>
                <w:b/>
                <w:bCs/>
                <w:color w:val="FFFFFF" w:themeColor="background1"/>
              </w:rPr>
              <w:t>Work Restrictions for Asymptomatic HCP</w:t>
            </w:r>
          </w:p>
        </w:tc>
      </w:tr>
      <w:tr w:rsidR="00B41B48" w:rsidRPr="00B41B48" w14:paraId="22600597" w14:textId="77777777" w:rsidTr="00B41B48">
        <w:tc>
          <w:tcPr>
            <w:tcW w:w="15135" w:type="dxa"/>
            <w:gridSpan w:val="4"/>
            <w:tcBorders>
              <w:top w:val="single" w:sz="6" w:space="0" w:color="DEE2E6"/>
              <w:left w:val="single" w:sz="6" w:space="0" w:color="DEE2E6"/>
              <w:bottom w:val="single" w:sz="6" w:space="0" w:color="DEE2E6"/>
              <w:right w:val="single" w:sz="6" w:space="0" w:color="DEE2E6"/>
            </w:tcBorders>
            <w:shd w:val="clear" w:color="auto" w:fill="DBE5F1" w:themeFill="accent1" w:themeFillTint="33"/>
            <w:vAlign w:val="center"/>
            <w:hideMark/>
          </w:tcPr>
          <w:p w14:paraId="1AFACB90" w14:textId="77777777" w:rsidR="00B41B48" w:rsidRPr="00B41B48" w:rsidRDefault="00B41B48" w:rsidP="00B41B48">
            <w:pPr>
              <w:spacing w:after="0"/>
              <w:ind w:left="144"/>
              <w:rPr>
                <w:b/>
                <w:bCs/>
                <w:color w:val="000000"/>
              </w:rPr>
            </w:pPr>
            <w:r w:rsidRPr="00B41B48">
              <w:rPr>
                <w:rStyle w:val="Strong"/>
                <w:b w:val="0"/>
                <w:bCs w:val="0"/>
                <w:color w:val="000000"/>
              </w:rPr>
              <w:t xml:space="preserve">Prolonged close contact with a patient with COVID-19 (beginning 48 hours before symptom onset) who </w:t>
            </w:r>
            <w:r w:rsidRPr="00B41B48">
              <w:rPr>
                <w:rStyle w:val="Strong"/>
                <w:color w:val="000000"/>
              </w:rPr>
              <w:t>was wearing a cloth face covering or facemask</w:t>
            </w:r>
            <w:r w:rsidRPr="00B41B48">
              <w:rPr>
                <w:rStyle w:val="Strong"/>
                <w:b w:val="0"/>
                <w:bCs w:val="0"/>
                <w:color w:val="000000"/>
              </w:rPr>
              <w:t xml:space="preserve"> (i.e., source control)</w:t>
            </w:r>
          </w:p>
        </w:tc>
      </w:tr>
      <w:tr w:rsidR="00B41B48" w:rsidRPr="00B41B48" w14:paraId="16266783" w14:textId="77777777" w:rsidTr="00B41B48">
        <w:trPr>
          <w:trHeight w:val="618"/>
        </w:trPr>
        <w:tc>
          <w:tcPr>
            <w:tcW w:w="4590"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58C3471F" w14:textId="77777777" w:rsidR="00B41B48" w:rsidRPr="00B41B48" w:rsidRDefault="00B41B48" w:rsidP="00B41B48">
            <w:pPr>
              <w:spacing w:after="0"/>
              <w:ind w:left="144"/>
              <w:rPr>
                <w:i/>
                <w:iCs/>
                <w:color w:val="000000"/>
              </w:rPr>
            </w:pPr>
            <w:r w:rsidRPr="00B41B48">
              <w:rPr>
                <w:i/>
                <w:iCs/>
                <w:color w:val="000000"/>
              </w:rPr>
              <w:t>HCP PPE: None</w:t>
            </w:r>
          </w:p>
        </w:tc>
        <w:tc>
          <w:tcPr>
            <w:tcW w:w="2071"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568C6539" w14:textId="77777777" w:rsidR="00B41B48" w:rsidRPr="00B41B48" w:rsidRDefault="00B41B48" w:rsidP="00B41B48">
            <w:pPr>
              <w:spacing w:after="0"/>
              <w:ind w:left="144"/>
              <w:rPr>
                <w:color w:val="000000"/>
              </w:rPr>
            </w:pPr>
            <w:r w:rsidRPr="00B41B48">
              <w:rPr>
                <w:color w:val="000000"/>
              </w:rPr>
              <w:t>Medium</w:t>
            </w:r>
          </w:p>
        </w:tc>
        <w:tc>
          <w:tcPr>
            <w:tcW w:w="4499"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63142A4D" w14:textId="77777777" w:rsidR="00B41B48" w:rsidRPr="00B41B48" w:rsidRDefault="00B41B48" w:rsidP="00B41B48">
            <w:pPr>
              <w:spacing w:after="0"/>
              <w:ind w:left="144"/>
              <w:rPr>
                <w:color w:val="000000"/>
              </w:rPr>
            </w:pPr>
            <w:r w:rsidRPr="00B41B48">
              <w:rPr>
                <w:color w:val="000000"/>
              </w:rPr>
              <w:t>Active</w:t>
            </w:r>
          </w:p>
        </w:tc>
        <w:tc>
          <w:tcPr>
            <w:tcW w:w="3975"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17A7A9B6" w14:textId="77777777" w:rsidR="00B41B48" w:rsidRPr="00B41B48" w:rsidRDefault="00B41B48" w:rsidP="00B41B48">
            <w:pPr>
              <w:spacing w:after="0"/>
              <w:ind w:left="144"/>
              <w:rPr>
                <w:color w:val="000000"/>
              </w:rPr>
            </w:pPr>
            <w:r w:rsidRPr="00B41B48">
              <w:rPr>
                <w:color w:val="000000"/>
              </w:rPr>
              <w:t>Exclude from work for 14 days after last exposure</w:t>
            </w:r>
          </w:p>
        </w:tc>
      </w:tr>
      <w:tr w:rsidR="00B41B48" w:rsidRPr="00B41B48" w14:paraId="17324198" w14:textId="77777777" w:rsidTr="00B41B48">
        <w:trPr>
          <w:trHeight w:val="618"/>
        </w:trPr>
        <w:tc>
          <w:tcPr>
            <w:tcW w:w="4590" w:type="dxa"/>
            <w:tcBorders>
              <w:top w:val="single" w:sz="6" w:space="0" w:color="DEE2E6"/>
              <w:left w:val="single" w:sz="6" w:space="0" w:color="DEE2E6"/>
              <w:bottom w:val="single" w:sz="6" w:space="0" w:color="DEE2E6"/>
              <w:right w:val="single" w:sz="6" w:space="0" w:color="DEE2E6"/>
            </w:tcBorders>
            <w:vAlign w:val="center"/>
            <w:hideMark/>
          </w:tcPr>
          <w:p w14:paraId="5A5DCF80" w14:textId="77777777" w:rsidR="00B41B48" w:rsidRPr="00B41B48" w:rsidRDefault="00B41B48" w:rsidP="00B41B48">
            <w:pPr>
              <w:spacing w:after="0"/>
              <w:ind w:left="144"/>
              <w:rPr>
                <w:i/>
                <w:iCs/>
                <w:color w:val="000000"/>
              </w:rPr>
            </w:pPr>
            <w:r w:rsidRPr="00B41B48">
              <w:rPr>
                <w:i/>
                <w:iCs/>
                <w:color w:val="000000"/>
              </w:rPr>
              <w:t>HCP PPE: Not wearing a facemask or respirator</w:t>
            </w:r>
          </w:p>
        </w:tc>
        <w:tc>
          <w:tcPr>
            <w:tcW w:w="2071" w:type="dxa"/>
            <w:tcBorders>
              <w:top w:val="single" w:sz="6" w:space="0" w:color="DEE2E6"/>
              <w:left w:val="single" w:sz="6" w:space="0" w:color="DEE2E6"/>
              <w:bottom w:val="single" w:sz="6" w:space="0" w:color="DEE2E6"/>
              <w:right w:val="single" w:sz="6" w:space="0" w:color="DEE2E6"/>
            </w:tcBorders>
            <w:vAlign w:val="center"/>
            <w:hideMark/>
          </w:tcPr>
          <w:p w14:paraId="5BEE4335" w14:textId="77777777" w:rsidR="00B41B48" w:rsidRPr="00B41B48" w:rsidRDefault="00B41B48" w:rsidP="00B41B48">
            <w:pPr>
              <w:spacing w:after="0"/>
              <w:ind w:left="144"/>
              <w:rPr>
                <w:color w:val="000000"/>
              </w:rPr>
            </w:pPr>
            <w:r w:rsidRPr="00B41B48">
              <w:rPr>
                <w:color w:val="000000"/>
              </w:rPr>
              <w:t>Medium</w:t>
            </w:r>
          </w:p>
        </w:tc>
        <w:tc>
          <w:tcPr>
            <w:tcW w:w="4499" w:type="dxa"/>
            <w:tcBorders>
              <w:top w:val="single" w:sz="6" w:space="0" w:color="DEE2E6"/>
              <w:left w:val="single" w:sz="6" w:space="0" w:color="DEE2E6"/>
              <w:bottom w:val="single" w:sz="6" w:space="0" w:color="DEE2E6"/>
              <w:right w:val="single" w:sz="6" w:space="0" w:color="DEE2E6"/>
            </w:tcBorders>
            <w:vAlign w:val="center"/>
            <w:hideMark/>
          </w:tcPr>
          <w:p w14:paraId="5E951CB2" w14:textId="77777777" w:rsidR="00B41B48" w:rsidRPr="00B41B48" w:rsidRDefault="00B41B48" w:rsidP="00B41B48">
            <w:pPr>
              <w:spacing w:after="0"/>
              <w:ind w:left="144"/>
              <w:rPr>
                <w:color w:val="000000"/>
              </w:rPr>
            </w:pPr>
            <w:r w:rsidRPr="00B41B48">
              <w:rPr>
                <w:color w:val="000000"/>
              </w:rPr>
              <w:t>Active</w:t>
            </w:r>
          </w:p>
        </w:tc>
        <w:tc>
          <w:tcPr>
            <w:tcW w:w="3975" w:type="dxa"/>
            <w:tcBorders>
              <w:top w:val="single" w:sz="6" w:space="0" w:color="DEE2E6"/>
              <w:left w:val="single" w:sz="6" w:space="0" w:color="DEE2E6"/>
              <w:bottom w:val="single" w:sz="6" w:space="0" w:color="DEE2E6"/>
              <w:right w:val="single" w:sz="6" w:space="0" w:color="DEE2E6"/>
            </w:tcBorders>
            <w:vAlign w:val="center"/>
            <w:hideMark/>
          </w:tcPr>
          <w:p w14:paraId="197ACDB4" w14:textId="77777777" w:rsidR="00B41B48" w:rsidRPr="00B41B48" w:rsidRDefault="00B41B48" w:rsidP="00B41B48">
            <w:pPr>
              <w:spacing w:after="0"/>
              <w:ind w:left="144"/>
              <w:rPr>
                <w:color w:val="000000"/>
              </w:rPr>
            </w:pPr>
            <w:r w:rsidRPr="00B41B48">
              <w:rPr>
                <w:color w:val="000000"/>
              </w:rPr>
              <w:t>Exclude from work for 14 days after last exposure</w:t>
            </w:r>
          </w:p>
        </w:tc>
      </w:tr>
      <w:tr w:rsidR="00B41B48" w:rsidRPr="00B41B48" w14:paraId="578F28CD" w14:textId="77777777" w:rsidTr="00B41B48">
        <w:trPr>
          <w:trHeight w:val="618"/>
        </w:trPr>
        <w:tc>
          <w:tcPr>
            <w:tcW w:w="4590"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7E0B1777" w14:textId="77777777" w:rsidR="00B41B48" w:rsidRPr="00B41B48" w:rsidRDefault="00B41B48" w:rsidP="00B41B48">
            <w:pPr>
              <w:spacing w:after="0"/>
              <w:ind w:left="144"/>
              <w:rPr>
                <w:i/>
                <w:iCs/>
                <w:color w:val="000000"/>
              </w:rPr>
            </w:pPr>
            <w:r w:rsidRPr="00B41B48">
              <w:rPr>
                <w:i/>
                <w:iCs/>
                <w:color w:val="000000"/>
              </w:rPr>
              <w:t>HCP PPE: Not wearing eye protection</w:t>
            </w:r>
          </w:p>
        </w:tc>
        <w:tc>
          <w:tcPr>
            <w:tcW w:w="2071"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0A9039BA" w14:textId="77777777" w:rsidR="00B41B48" w:rsidRPr="00B41B48" w:rsidRDefault="00B41B48" w:rsidP="00B41B48">
            <w:pPr>
              <w:spacing w:after="0"/>
              <w:ind w:left="144"/>
              <w:rPr>
                <w:color w:val="000000"/>
              </w:rPr>
            </w:pPr>
            <w:r w:rsidRPr="00B41B48">
              <w:rPr>
                <w:color w:val="000000"/>
              </w:rPr>
              <w:t>Low</w:t>
            </w:r>
          </w:p>
        </w:tc>
        <w:tc>
          <w:tcPr>
            <w:tcW w:w="4499"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5A035409" w14:textId="77777777" w:rsidR="00B41B48" w:rsidRPr="00B41B48" w:rsidRDefault="00B41B48" w:rsidP="00B41B48">
            <w:pPr>
              <w:spacing w:after="0"/>
              <w:ind w:left="144"/>
              <w:rPr>
                <w:color w:val="000000"/>
              </w:rPr>
            </w:pPr>
            <w:r w:rsidRPr="00B41B48">
              <w:rPr>
                <w:color w:val="000000"/>
              </w:rPr>
              <w:t>Self with delegated supervision</w:t>
            </w:r>
          </w:p>
        </w:tc>
        <w:tc>
          <w:tcPr>
            <w:tcW w:w="3975"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4CBBB157" w14:textId="77777777" w:rsidR="00B41B48" w:rsidRPr="00B41B48" w:rsidRDefault="00B41B48" w:rsidP="00B41B48">
            <w:pPr>
              <w:spacing w:after="0"/>
              <w:ind w:left="144"/>
              <w:rPr>
                <w:color w:val="000000"/>
              </w:rPr>
            </w:pPr>
            <w:r w:rsidRPr="00B41B48">
              <w:rPr>
                <w:color w:val="000000"/>
              </w:rPr>
              <w:t>None</w:t>
            </w:r>
          </w:p>
        </w:tc>
      </w:tr>
      <w:tr w:rsidR="00B41B48" w:rsidRPr="00B41B48" w14:paraId="1B3CDE17" w14:textId="77777777" w:rsidTr="00B41B48">
        <w:trPr>
          <w:trHeight w:val="618"/>
        </w:trPr>
        <w:tc>
          <w:tcPr>
            <w:tcW w:w="4590" w:type="dxa"/>
            <w:tcBorders>
              <w:top w:val="single" w:sz="6" w:space="0" w:color="DEE2E6"/>
              <w:left w:val="single" w:sz="6" w:space="0" w:color="DEE2E6"/>
              <w:bottom w:val="single" w:sz="6" w:space="0" w:color="DEE2E6"/>
              <w:right w:val="single" w:sz="6" w:space="0" w:color="DEE2E6"/>
            </w:tcBorders>
            <w:vAlign w:val="center"/>
            <w:hideMark/>
          </w:tcPr>
          <w:p w14:paraId="2A1D2447" w14:textId="77777777" w:rsidR="00B41B48" w:rsidRPr="00B41B48" w:rsidRDefault="00B41B48" w:rsidP="00B41B48">
            <w:pPr>
              <w:spacing w:after="0"/>
              <w:ind w:left="144"/>
              <w:rPr>
                <w:i/>
                <w:iCs/>
                <w:color w:val="000000"/>
              </w:rPr>
            </w:pPr>
            <w:r w:rsidRPr="00B41B48">
              <w:rPr>
                <w:i/>
                <w:iCs/>
                <w:color w:val="000000"/>
              </w:rPr>
              <w:t xml:space="preserve">HCP PPE: Not wearing gown or </w:t>
            </w:r>
            <w:proofErr w:type="spellStart"/>
            <w:r w:rsidRPr="00B41B48">
              <w:rPr>
                <w:i/>
                <w:iCs/>
                <w:color w:val="000000"/>
              </w:rPr>
              <w:t>gloves</w:t>
            </w:r>
            <w:hyperlink r:id="rId18" w:anchor="a" w:history="1">
              <w:r w:rsidRPr="00B41B48">
                <w:rPr>
                  <w:rStyle w:val="Hyperlink"/>
                  <w:i/>
                  <w:iCs/>
                  <w:color w:val="075290"/>
                  <w:vertAlign w:val="superscript"/>
                </w:rPr>
                <w:t>a</w:t>
              </w:r>
              <w:proofErr w:type="spellEnd"/>
            </w:hyperlink>
          </w:p>
        </w:tc>
        <w:tc>
          <w:tcPr>
            <w:tcW w:w="2071" w:type="dxa"/>
            <w:tcBorders>
              <w:top w:val="single" w:sz="6" w:space="0" w:color="DEE2E6"/>
              <w:left w:val="single" w:sz="6" w:space="0" w:color="DEE2E6"/>
              <w:bottom w:val="single" w:sz="6" w:space="0" w:color="DEE2E6"/>
              <w:right w:val="single" w:sz="6" w:space="0" w:color="DEE2E6"/>
            </w:tcBorders>
            <w:vAlign w:val="center"/>
            <w:hideMark/>
          </w:tcPr>
          <w:p w14:paraId="3B058F89" w14:textId="77777777" w:rsidR="00B41B48" w:rsidRPr="00B41B48" w:rsidRDefault="00B41B48" w:rsidP="00B41B48">
            <w:pPr>
              <w:spacing w:after="0"/>
              <w:ind w:left="144"/>
              <w:rPr>
                <w:color w:val="000000"/>
              </w:rPr>
            </w:pPr>
            <w:r w:rsidRPr="00B41B48">
              <w:rPr>
                <w:color w:val="000000"/>
              </w:rPr>
              <w:t>Low</w:t>
            </w:r>
          </w:p>
        </w:tc>
        <w:tc>
          <w:tcPr>
            <w:tcW w:w="4499" w:type="dxa"/>
            <w:tcBorders>
              <w:top w:val="single" w:sz="6" w:space="0" w:color="DEE2E6"/>
              <w:left w:val="single" w:sz="6" w:space="0" w:color="DEE2E6"/>
              <w:bottom w:val="single" w:sz="6" w:space="0" w:color="DEE2E6"/>
              <w:right w:val="single" w:sz="6" w:space="0" w:color="DEE2E6"/>
            </w:tcBorders>
            <w:vAlign w:val="center"/>
            <w:hideMark/>
          </w:tcPr>
          <w:p w14:paraId="5F604925" w14:textId="77777777" w:rsidR="00B41B48" w:rsidRPr="00B41B48" w:rsidRDefault="00B41B48" w:rsidP="00B41B48">
            <w:pPr>
              <w:spacing w:after="0"/>
              <w:ind w:left="144"/>
              <w:rPr>
                <w:color w:val="000000"/>
              </w:rPr>
            </w:pPr>
            <w:r w:rsidRPr="00B41B48">
              <w:rPr>
                <w:color w:val="000000"/>
              </w:rPr>
              <w:t>Self with delegated supervision</w:t>
            </w:r>
          </w:p>
        </w:tc>
        <w:tc>
          <w:tcPr>
            <w:tcW w:w="3975" w:type="dxa"/>
            <w:tcBorders>
              <w:top w:val="single" w:sz="6" w:space="0" w:color="DEE2E6"/>
              <w:left w:val="single" w:sz="6" w:space="0" w:color="DEE2E6"/>
              <w:bottom w:val="single" w:sz="6" w:space="0" w:color="DEE2E6"/>
              <w:right w:val="single" w:sz="6" w:space="0" w:color="DEE2E6"/>
            </w:tcBorders>
            <w:vAlign w:val="center"/>
            <w:hideMark/>
          </w:tcPr>
          <w:p w14:paraId="0BE2EA22" w14:textId="77777777" w:rsidR="00B41B48" w:rsidRPr="00B41B48" w:rsidRDefault="00B41B48" w:rsidP="00B41B48">
            <w:pPr>
              <w:spacing w:after="0"/>
              <w:ind w:left="144"/>
              <w:rPr>
                <w:color w:val="000000"/>
              </w:rPr>
            </w:pPr>
            <w:r w:rsidRPr="00B41B48">
              <w:rPr>
                <w:color w:val="000000"/>
              </w:rPr>
              <w:t>None</w:t>
            </w:r>
          </w:p>
        </w:tc>
      </w:tr>
      <w:tr w:rsidR="00B41B48" w:rsidRPr="00B41B48" w14:paraId="5494E8F8" w14:textId="77777777" w:rsidTr="00B41B48">
        <w:trPr>
          <w:trHeight w:val="618"/>
        </w:trPr>
        <w:tc>
          <w:tcPr>
            <w:tcW w:w="4590"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0920D3A1" w14:textId="77777777" w:rsidR="00B41B48" w:rsidRPr="00B41B48" w:rsidRDefault="00B41B48" w:rsidP="00B41B48">
            <w:pPr>
              <w:spacing w:after="0"/>
              <w:ind w:left="144"/>
              <w:rPr>
                <w:i/>
                <w:iCs/>
                <w:color w:val="000000"/>
              </w:rPr>
            </w:pPr>
            <w:r w:rsidRPr="00B41B48">
              <w:rPr>
                <w:i/>
                <w:iCs/>
                <w:color w:val="000000"/>
              </w:rPr>
              <w:t>HCP PPE: Wearing all recommended PPE (except wearing a facemask instead of a respirator)</w:t>
            </w:r>
          </w:p>
        </w:tc>
        <w:tc>
          <w:tcPr>
            <w:tcW w:w="2071"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4B636E9A" w14:textId="77777777" w:rsidR="00B41B48" w:rsidRPr="00B41B48" w:rsidRDefault="00B41B48" w:rsidP="00B41B48">
            <w:pPr>
              <w:spacing w:after="0"/>
              <w:ind w:left="144"/>
              <w:rPr>
                <w:color w:val="000000"/>
              </w:rPr>
            </w:pPr>
            <w:r w:rsidRPr="00B41B48">
              <w:rPr>
                <w:color w:val="000000"/>
              </w:rPr>
              <w:t>Low</w:t>
            </w:r>
          </w:p>
        </w:tc>
        <w:tc>
          <w:tcPr>
            <w:tcW w:w="4499"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4096DCBE" w14:textId="77777777" w:rsidR="00B41B48" w:rsidRPr="00B41B48" w:rsidRDefault="00B41B48" w:rsidP="00B41B48">
            <w:pPr>
              <w:spacing w:after="0"/>
              <w:ind w:left="144"/>
              <w:rPr>
                <w:color w:val="000000"/>
              </w:rPr>
            </w:pPr>
            <w:r w:rsidRPr="00B41B48">
              <w:rPr>
                <w:color w:val="000000"/>
              </w:rPr>
              <w:t>Self with delegated supervision</w:t>
            </w:r>
          </w:p>
        </w:tc>
        <w:tc>
          <w:tcPr>
            <w:tcW w:w="3975"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769F33D8" w14:textId="77777777" w:rsidR="00B41B48" w:rsidRPr="00B41B48" w:rsidRDefault="00B41B48" w:rsidP="00B41B48">
            <w:pPr>
              <w:spacing w:after="0"/>
              <w:ind w:left="144"/>
              <w:rPr>
                <w:color w:val="000000"/>
              </w:rPr>
            </w:pPr>
            <w:r w:rsidRPr="00B41B48">
              <w:rPr>
                <w:color w:val="000000"/>
              </w:rPr>
              <w:t>None</w:t>
            </w:r>
          </w:p>
        </w:tc>
      </w:tr>
      <w:tr w:rsidR="00B41B48" w:rsidRPr="00B41B48" w14:paraId="57BDEFFB" w14:textId="77777777" w:rsidTr="00B41B48">
        <w:tc>
          <w:tcPr>
            <w:tcW w:w="15135" w:type="dxa"/>
            <w:gridSpan w:val="4"/>
            <w:tcBorders>
              <w:top w:val="single" w:sz="6" w:space="0" w:color="DEE2E6"/>
              <w:left w:val="single" w:sz="6" w:space="0" w:color="DEE2E6"/>
              <w:bottom w:val="single" w:sz="6" w:space="0" w:color="DEE2E6"/>
              <w:right w:val="single" w:sz="6" w:space="0" w:color="DEE2E6"/>
            </w:tcBorders>
            <w:shd w:val="clear" w:color="auto" w:fill="DBE5F1" w:themeFill="accent1" w:themeFillTint="33"/>
            <w:vAlign w:val="center"/>
            <w:hideMark/>
          </w:tcPr>
          <w:p w14:paraId="6FBA438A" w14:textId="77777777" w:rsidR="00B41B48" w:rsidRPr="00B41B48" w:rsidRDefault="00B41B48" w:rsidP="00B41B48">
            <w:pPr>
              <w:spacing w:after="0"/>
              <w:ind w:left="144"/>
              <w:rPr>
                <w:b/>
                <w:bCs/>
                <w:color w:val="000000"/>
              </w:rPr>
            </w:pPr>
            <w:r w:rsidRPr="00B41B48">
              <w:rPr>
                <w:rStyle w:val="Strong"/>
                <w:b w:val="0"/>
                <w:bCs w:val="0"/>
                <w:color w:val="000000"/>
              </w:rPr>
              <w:t xml:space="preserve">Prolonged close contact with a patient with COVID-19 (beginning 48 hours before symptom onset) who </w:t>
            </w:r>
            <w:r w:rsidRPr="00B41B48">
              <w:rPr>
                <w:rStyle w:val="Strong"/>
                <w:color w:val="000000"/>
              </w:rPr>
              <w:t>was not wearing a cloth face covering or facemask</w:t>
            </w:r>
            <w:r w:rsidRPr="00B41B48">
              <w:rPr>
                <w:rStyle w:val="Strong"/>
                <w:b w:val="0"/>
                <w:bCs w:val="0"/>
                <w:color w:val="000000"/>
              </w:rPr>
              <w:t xml:space="preserve"> (i.e., no source control)</w:t>
            </w:r>
          </w:p>
        </w:tc>
      </w:tr>
      <w:tr w:rsidR="00B41B48" w:rsidRPr="00B41B48" w14:paraId="0E0F4007" w14:textId="77777777" w:rsidTr="00B41B48">
        <w:trPr>
          <w:trHeight w:val="618"/>
        </w:trPr>
        <w:tc>
          <w:tcPr>
            <w:tcW w:w="4590"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2CAC4AEC" w14:textId="77777777" w:rsidR="00B41B48" w:rsidRPr="00B41B48" w:rsidRDefault="00B41B48" w:rsidP="00B41B48">
            <w:pPr>
              <w:spacing w:after="0"/>
              <w:ind w:left="144"/>
              <w:rPr>
                <w:i/>
                <w:iCs/>
                <w:color w:val="000000"/>
              </w:rPr>
            </w:pPr>
            <w:r w:rsidRPr="00B41B48">
              <w:rPr>
                <w:i/>
                <w:iCs/>
                <w:color w:val="000000"/>
              </w:rPr>
              <w:t>HCP PPE: None</w:t>
            </w:r>
          </w:p>
        </w:tc>
        <w:tc>
          <w:tcPr>
            <w:tcW w:w="2071"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68C3184C" w14:textId="77777777" w:rsidR="00B41B48" w:rsidRPr="00B41B48" w:rsidRDefault="00B41B48" w:rsidP="00B41B48">
            <w:pPr>
              <w:spacing w:after="0"/>
              <w:ind w:left="144"/>
              <w:rPr>
                <w:color w:val="000000"/>
              </w:rPr>
            </w:pPr>
            <w:r w:rsidRPr="00B41B48">
              <w:rPr>
                <w:color w:val="000000"/>
              </w:rPr>
              <w:t>High</w:t>
            </w:r>
          </w:p>
        </w:tc>
        <w:tc>
          <w:tcPr>
            <w:tcW w:w="4499"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1F881046" w14:textId="77777777" w:rsidR="00B41B48" w:rsidRPr="00B41B48" w:rsidRDefault="00B41B48" w:rsidP="00B41B48">
            <w:pPr>
              <w:spacing w:after="0"/>
              <w:ind w:left="144"/>
              <w:rPr>
                <w:color w:val="000000"/>
              </w:rPr>
            </w:pPr>
            <w:r w:rsidRPr="00B41B48">
              <w:rPr>
                <w:color w:val="000000"/>
              </w:rPr>
              <w:t>Active</w:t>
            </w:r>
          </w:p>
        </w:tc>
        <w:tc>
          <w:tcPr>
            <w:tcW w:w="3975"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41E52027" w14:textId="77777777" w:rsidR="00B41B48" w:rsidRPr="00B41B48" w:rsidRDefault="00B41B48" w:rsidP="00B41B48">
            <w:pPr>
              <w:spacing w:after="0"/>
              <w:ind w:left="144"/>
              <w:rPr>
                <w:color w:val="000000"/>
              </w:rPr>
            </w:pPr>
            <w:r w:rsidRPr="00B41B48">
              <w:rPr>
                <w:color w:val="000000"/>
              </w:rPr>
              <w:t>Exclude from work for 14 days after last exposure</w:t>
            </w:r>
          </w:p>
        </w:tc>
      </w:tr>
      <w:tr w:rsidR="00B41B48" w:rsidRPr="00B41B48" w14:paraId="6F880933" w14:textId="77777777" w:rsidTr="00B41B48">
        <w:trPr>
          <w:trHeight w:val="618"/>
        </w:trPr>
        <w:tc>
          <w:tcPr>
            <w:tcW w:w="4590" w:type="dxa"/>
            <w:tcBorders>
              <w:top w:val="single" w:sz="6" w:space="0" w:color="DEE2E6"/>
              <w:left w:val="single" w:sz="6" w:space="0" w:color="DEE2E6"/>
              <w:bottom w:val="single" w:sz="6" w:space="0" w:color="DEE2E6"/>
              <w:right w:val="single" w:sz="6" w:space="0" w:color="DEE2E6"/>
            </w:tcBorders>
            <w:vAlign w:val="center"/>
            <w:hideMark/>
          </w:tcPr>
          <w:p w14:paraId="7A18076F" w14:textId="77777777" w:rsidR="00B41B48" w:rsidRPr="00B41B48" w:rsidRDefault="00B41B48" w:rsidP="00B41B48">
            <w:pPr>
              <w:spacing w:after="0"/>
              <w:ind w:left="144"/>
              <w:rPr>
                <w:i/>
                <w:iCs/>
                <w:color w:val="000000"/>
              </w:rPr>
            </w:pPr>
            <w:r w:rsidRPr="00B41B48">
              <w:rPr>
                <w:i/>
                <w:iCs/>
                <w:color w:val="000000"/>
              </w:rPr>
              <w:t>HCP PPE: Not wearing a facemask or respirator</w:t>
            </w:r>
          </w:p>
        </w:tc>
        <w:tc>
          <w:tcPr>
            <w:tcW w:w="2071" w:type="dxa"/>
            <w:tcBorders>
              <w:top w:val="single" w:sz="6" w:space="0" w:color="DEE2E6"/>
              <w:left w:val="single" w:sz="6" w:space="0" w:color="DEE2E6"/>
              <w:bottom w:val="single" w:sz="6" w:space="0" w:color="DEE2E6"/>
              <w:right w:val="single" w:sz="6" w:space="0" w:color="DEE2E6"/>
            </w:tcBorders>
            <w:vAlign w:val="center"/>
            <w:hideMark/>
          </w:tcPr>
          <w:p w14:paraId="06E224B0" w14:textId="77777777" w:rsidR="00B41B48" w:rsidRPr="00B41B48" w:rsidRDefault="00B41B48" w:rsidP="00B41B48">
            <w:pPr>
              <w:spacing w:after="0"/>
              <w:ind w:left="144"/>
              <w:rPr>
                <w:color w:val="000000"/>
              </w:rPr>
            </w:pPr>
            <w:r w:rsidRPr="00B41B48">
              <w:rPr>
                <w:color w:val="000000"/>
              </w:rPr>
              <w:t>High</w:t>
            </w:r>
          </w:p>
        </w:tc>
        <w:tc>
          <w:tcPr>
            <w:tcW w:w="4499" w:type="dxa"/>
            <w:tcBorders>
              <w:top w:val="single" w:sz="6" w:space="0" w:color="DEE2E6"/>
              <w:left w:val="single" w:sz="6" w:space="0" w:color="DEE2E6"/>
              <w:bottom w:val="single" w:sz="6" w:space="0" w:color="DEE2E6"/>
              <w:right w:val="single" w:sz="6" w:space="0" w:color="DEE2E6"/>
            </w:tcBorders>
            <w:vAlign w:val="center"/>
            <w:hideMark/>
          </w:tcPr>
          <w:p w14:paraId="2CA6350D" w14:textId="77777777" w:rsidR="00B41B48" w:rsidRPr="00B41B48" w:rsidRDefault="00B41B48" w:rsidP="00B41B48">
            <w:pPr>
              <w:spacing w:after="0"/>
              <w:ind w:left="144"/>
              <w:rPr>
                <w:color w:val="000000"/>
              </w:rPr>
            </w:pPr>
            <w:r w:rsidRPr="00B41B48">
              <w:rPr>
                <w:color w:val="000000"/>
              </w:rPr>
              <w:t>Active</w:t>
            </w:r>
          </w:p>
        </w:tc>
        <w:tc>
          <w:tcPr>
            <w:tcW w:w="3975" w:type="dxa"/>
            <w:tcBorders>
              <w:top w:val="single" w:sz="6" w:space="0" w:color="DEE2E6"/>
              <w:left w:val="single" w:sz="6" w:space="0" w:color="DEE2E6"/>
              <w:bottom w:val="single" w:sz="6" w:space="0" w:color="DEE2E6"/>
              <w:right w:val="single" w:sz="6" w:space="0" w:color="DEE2E6"/>
            </w:tcBorders>
            <w:vAlign w:val="center"/>
            <w:hideMark/>
          </w:tcPr>
          <w:p w14:paraId="7F4E07A4" w14:textId="77777777" w:rsidR="00B41B48" w:rsidRPr="00B41B48" w:rsidRDefault="00B41B48" w:rsidP="00B41B48">
            <w:pPr>
              <w:spacing w:after="0"/>
              <w:ind w:left="144"/>
              <w:rPr>
                <w:color w:val="000000"/>
              </w:rPr>
            </w:pPr>
            <w:r w:rsidRPr="00B41B48">
              <w:rPr>
                <w:color w:val="000000"/>
              </w:rPr>
              <w:t>Exclude from work for 14 days after last exposure</w:t>
            </w:r>
          </w:p>
        </w:tc>
      </w:tr>
      <w:tr w:rsidR="00B41B48" w:rsidRPr="00B41B48" w14:paraId="5FCD36AD" w14:textId="77777777" w:rsidTr="00B41B48">
        <w:trPr>
          <w:trHeight w:val="618"/>
        </w:trPr>
        <w:tc>
          <w:tcPr>
            <w:tcW w:w="4590"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50D5D5A6" w14:textId="77777777" w:rsidR="00B41B48" w:rsidRPr="00B41B48" w:rsidRDefault="00B41B48" w:rsidP="00B41B48">
            <w:pPr>
              <w:spacing w:after="0"/>
              <w:ind w:left="144"/>
              <w:rPr>
                <w:i/>
                <w:iCs/>
                <w:color w:val="000000"/>
              </w:rPr>
            </w:pPr>
            <w:r w:rsidRPr="00B41B48">
              <w:rPr>
                <w:i/>
                <w:iCs/>
                <w:color w:val="000000"/>
              </w:rPr>
              <w:t xml:space="preserve">HCP PPE: Not wearing eye </w:t>
            </w:r>
            <w:proofErr w:type="spellStart"/>
            <w:r w:rsidRPr="00B41B48">
              <w:rPr>
                <w:i/>
                <w:iCs/>
                <w:color w:val="000000"/>
              </w:rPr>
              <w:t>protection</w:t>
            </w:r>
            <w:hyperlink r:id="rId19" w:anchor="b" w:history="1">
              <w:r w:rsidRPr="00B41B48">
                <w:rPr>
                  <w:rStyle w:val="Hyperlink"/>
                  <w:i/>
                  <w:iCs/>
                  <w:color w:val="075290"/>
                  <w:vertAlign w:val="superscript"/>
                </w:rPr>
                <w:t>b</w:t>
              </w:r>
              <w:proofErr w:type="spellEnd"/>
            </w:hyperlink>
          </w:p>
        </w:tc>
        <w:tc>
          <w:tcPr>
            <w:tcW w:w="2071"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36721F57" w14:textId="77777777" w:rsidR="00B41B48" w:rsidRPr="00B41B48" w:rsidRDefault="00B41B48" w:rsidP="00B41B48">
            <w:pPr>
              <w:spacing w:after="0"/>
              <w:ind w:left="144"/>
              <w:rPr>
                <w:color w:val="000000"/>
              </w:rPr>
            </w:pPr>
            <w:r w:rsidRPr="00B41B48">
              <w:rPr>
                <w:color w:val="000000"/>
              </w:rPr>
              <w:t>Medium</w:t>
            </w:r>
          </w:p>
        </w:tc>
        <w:tc>
          <w:tcPr>
            <w:tcW w:w="4499"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532924DF" w14:textId="77777777" w:rsidR="00B41B48" w:rsidRPr="00B41B48" w:rsidRDefault="00B41B48" w:rsidP="00B41B48">
            <w:pPr>
              <w:spacing w:after="0"/>
              <w:ind w:left="144"/>
              <w:rPr>
                <w:color w:val="000000"/>
              </w:rPr>
            </w:pPr>
            <w:r w:rsidRPr="00B41B48">
              <w:rPr>
                <w:color w:val="000000"/>
              </w:rPr>
              <w:t>Active</w:t>
            </w:r>
          </w:p>
        </w:tc>
        <w:tc>
          <w:tcPr>
            <w:tcW w:w="3975"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6C7857CD" w14:textId="77777777" w:rsidR="00B41B48" w:rsidRPr="00B41B48" w:rsidRDefault="00B41B48" w:rsidP="00B41B48">
            <w:pPr>
              <w:spacing w:after="0"/>
              <w:ind w:left="144"/>
              <w:rPr>
                <w:color w:val="000000"/>
              </w:rPr>
            </w:pPr>
            <w:r w:rsidRPr="00B41B48">
              <w:rPr>
                <w:color w:val="000000"/>
              </w:rPr>
              <w:t>Exclude from work for 14 days after last exposure</w:t>
            </w:r>
          </w:p>
        </w:tc>
      </w:tr>
      <w:tr w:rsidR="00B41B48" w:rsidRPr="00B41B48" w14:paraId="31E45360" w14:textId="77777777" w:rsidTr="00B41B48">
        <w:trPr>
          <w:trHeight w:val="618"/>
        </w:trPr>
        <w:tc>
          <w:tcPr>
            <w:tcW w:w="4590" w:type="dxa"/>
            <w:tcBorders>
              <w:top w:val="single" w:sz="6" w:space="0" w:color="DEE2E6"/>
              <w:left w:val="single" w:sz="6" w:space="0" w:color="DEE2E6"/>
              <w:bottom w:val="single" w:sz="6" w:space="0" w:color="DEE2E6"/>
              <w:right w:val="single" w:sz="6" w:space="0" w:color="DEE2E6"/>
            </w:tcBorders>
            <w:vAlign w:val="center"/>
            <w:hideMark/>
          </w:tcPr>
          <w:p w14:paraId="5EB77791" w14:textId="77777777" w:rsidR="00B41B48" w:rsidRPr="00B41B48" w:rsidRDefault="00B41B48" w:rsidP="00B41B48">
            <w:pPr>
              <w:spacing w:after="0"/>
              <w:ind w:left="144"/>
              <w:rPr>
                <w:i/>
                <w:iCs/>
                <w:color w:val="000000"/>
              </w:rPr>
            </w:pPr>
            <w:r w:rsidRPr="00B41B48">
              <w:rPr>
                <w:i/>
                <w:iCs/>
                <w:color w:val="000000"/>
              </w:rPr>
              <w:t xml:space="preserve">HCP PPE: Not wearing gown or </w:t>
            </w:r>
            <w:proofErr w:type="spellStart"/>
            <w:r w:rsidRPr="00B41B48">
              <w:rPr>
                <w:i/>
                <w:iCs/>
                <w:color w:val="000000"/>
              </w:rPr>
              <w:t>gloves</w:t>
            </w:r>
            <w:hyperlink r:id="rId20" w:anchor="a" w:history="1">
              <w:r w:rsidRPr="00B41B48">
                <w:rPr>
                  <w:rStyle w:val="Hyperlink"/>
                  <w:i/>
                  <w:iCs/>
                  <w:color w:val="075290"/>
                  <w:vertAlign w:val="superscript"/>
                </w:rPr>
                <w:t>a</w:t>
              </w:r>
            </w:hyperlink>
            <w:r w:rsidRPr="00B41B48">
              <w:rPr>
                <w:i/>
                <w:iCs/>
                <w:color w:val="000000"/>
                <w:vertAlign w:val="superscript"/>
              </w:rPr>
              <w:t>,</w:t>
            </w:r>
            <w:hyperlink r:id="rId21" w:anchor="b" w:history="1">
              <w:r w:rsidRPr="00B41B48">
                <w:rPr>
                  <w:rStyle w:val="Hyperlink"/>
                  <w:i/>
                  <w:iCs/>
                  <w:color w:val="075290"/>
                  <w:vertAlign w:val="superscript"/>
                </w:rPr>
                <w:t>b</w:t>
              </w:r>
              <w:proofErr w:type="spellEnd"/>
            </w:hyperlink>
          </w:p>
        </w:tc>
        <w:tc>
          <w:tcPr>
            <w:tcW w:w="2071" w:type="dxa"/>
            <w:tcBorders>
              <w:top w:val="single" w:sz="6" w:space="0" w:color="DEE2E6"/>
              <w:left w:val="single" w:sz="6" w:space="0" w:color="DEE2E6"/>
              <w:bottom w:val="single" w:sz="6" w:space="0" w:color="DEE2E6"/>
              <w:right w:val="single" w:sz="6" w:space="0" w:color="DEE2E6"/>
            </w:tcBorders>
            <w:vAlign w:val="center"/>
            <w:hideMark/>
          </w:tcPr>
          <w:p w14:paraId="3F72E505" w14:textId="77777777" w:rsidR="00B41B48" w:rsidRPr="00B41B48" w:rsidRDefault="00B41B48" w:rsidP="00B41B48">
            <w:pPr>
              <w:spacing w:after="0"/>
              <w:ind w:left="144"/>
              <w:rPr>
                <w:color w:val="000000"/>
              </w:rPr>
            </w:pPr>
            <w:r w:rsidRPr="00B41B48">
              <w:rPr>
                <w:color w:val="000000"/>
              </w:rPr>
              <w:t>Low</w:t>
            </w:r>
          </w:p>
        </w:tc>
        <w:tc>
          <w:tcPr>
            <w:tcW w:w="4499" w:type="dxa"/>
            <w:tcBorders>
              <w:top w:val="single" w:sz="6" w:space="0" w:color="DEE2E6"/>
              <w:left w:val="single" w:sz="6" w:space="0" w:color="DEE2E6"/>
              <w:bottom w:val="single" w:sz="6" w:space="0" w:color="DEE2E6"/>
              <w:right w:val="single" w:sz="6" w:space="0" w:color="DEE2E6"/>
            </w:tcBorders>
            <w:vAlign w:val="center"/>
            <w:hideMark/>
          </w:tcPr>
          <w:p w14:paraId="35C8C782" w14:textId="77777777" w:rsidR="00B41B48" w:rsidRPr="00B41B48" w:rsidRDefault="00B41B48" w:rsidP="00B41B48">
            <w:pPr>
              <w:spacing w:after="0"/>
              <w:ind w:left="144"/>
              <w:rPr>
                <w:color w:val="000000"/>
              </w:rPr>
            </w:pPr>
            <w:r w:rsidRPr="00B41B48">
              <w:rPr>
                <w:color w:val="000000"/>
              </w:rPr>
              <w:t>Self with delegated supervision</w:t>
            </w:r>
          </w:p>
        </w:tc>
        <w:tc>
          <w:tcPr>
            <w:tcW w:w="3975" w:type="dxa"/>
            <w:tcBorders>
              <w:top w:val="single" w:sz="6" w:space="0" w:color="DEE2E6"/>
              <w:left w:val="single" w:sz="6" w:space="0" w:color="DEE2E6"/>
              <w:bottom w:val="single" w:sz="6" w:space="0" w:color="DEE2E6"/>
              <w:right w:val="single" w:sz="6" w:space="0" w:color="DEE2E6"/>
            </w:tcBorders>
            <w:vAlign w:val="center"/>
            <w:hideMark/>
          </w:tcPr>
          <w:p w14:paraId="729AA622" w14:textId="77777777" w:rsidR="00B41B48" w:rsidRPr="00B41B48" w:rsidRDefault="00B41B48" w:rsidP="00B41B48">
            <w:pPr>
              <w:spacing w:after="0"/>
              <w:ind w:left="144"/>
              <w:rPr>
                <w:color w:val="000000"/>
              </w:rPr>
            </w:pPr>
            <w:r w:rsidRPr="00B41B48">
              <w:rPr>
                <w:color w:val="000000"/>
              </w:rPr>
              <w:t>None</w:t>
            </w:r>
          </w:p>
        </w:tc>
      </w:tr>
      <w:tr w:rsidR="00B41B48" w:rsidRPr="00B41B48" w14:paraId="2C011DCA" w14:textId="77777777" w:rsidTr="00B41B48">
        <w:trPr>
          <w:trHeight w:val="618"/>
        </w:trPr>
        <w:tc>
          <w:tcPr>
            <w:tcW w:w="4590"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1F5F4871" w14:textId="77777777" w:rsidR="00B41B48" w:rsidRPr="00B41B48" w:rsidRDefault="00B41B48" w:rsidP="00B41B48">
            <w:pPr>
              <w:spacing w:after="0"/>
              <w:ind w:left="144"/>
              <w:rPr>
                <w:i/>
                <w:iCs/>
                <w:color w:val="000000"/>
              </w:rPr>
            </w:pPr>
            <w:r w:rsidRPr="00B41B48">
              <w:rPr>
                <w:i/>
                <w:iCs/>
                <w:color w:val="000000"/>
              </w:rPr>
              <w:t>HCP PPE: Wearing all recommended PPE (except wearing a facemask instead of a respirator)</w:t>
            </w:r>
            <w:hyperlink r:id="rId22" w:anchor="b" w:history="1">
              <w:r w:rsidRPr="00B41B48">
                <w:rPr>
                  <w:rStyle w:val="Hyperlink"/>
                  <w:i/>
                  <w:iCs/>
                  <w:color w:val="075290"/>
                  <w:vertAlign w:val="superscript"/>
                </w:rPr>
                <w:t>b</w:t>
              </w:r>
            </w:hyperlink>
          </w:p>
        </w:tc>
        <w:tc>
          <w:tcPr>
            <w:tcW w:w="2071"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256AE43B" w14:textId="77777777" w:rsidR="00B41B48" w:rsidRPr="00B41B48" w:rsidRDefault="00B41B48" w:rsidP="00B41B48">
            <w:pPr>
              <w:spacing w:after="0"/>
              <w:ind w:left="144"/>
              <w:rPr>
                <w:color w:val="000000"/>
              </w:rPr>
            </w:pPr>
            <w:r w:rsidRPr="00B41B48">
              <w:rPr>
                <w:color w:val="000000"/>
              </w:rPr>
              <w:t>Low</w:t>
            </w:r>
          </w:p>
        </w:tc>
        <w:tc>
          <w:tcPr>
            <w:tcW w:w="4499"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10C2625C" w14:textId="77777777" w:rsidR="00B41B48" w:rsidRPr="00B41B48" w:rsidRDefault="00B41B48" w:rsidP="00B41B48">
            <w:pPr>
              <w:spacing w:after="0"/>
              <w:ind w:left="144"/>
              <w:rPr>
                <w:color w:val="000000"/>
              </w:rPr>
            </w:pPr>
            <w:r w:rsidRPr="00B41B48">
              <w:rPr>
                <w:color w:val="000000"/>
              </w:rPr>
              <w:t>Self with delegated supervision</w:t>
            </w:r>
          </w:p>
        </w:tc>
        <w:tc>
          <w:tcPr>
            <w:tcW w:w="3975" w:type="dxa"/>
            <w:tcBorders>
              <w:top w:val="single" w:sz="6" w:space="0" w:color="DEE2E6"/>
              <w:left w:val="single" w:sz="6" w:space="0" w:color="DEE2E6"/>
              <w:bottom w:val="single" w:sz="6" w:space="0" w:color="DEE2E6"/>
              <w:right w:val="single" w:sz="6" w:space="0" w:color="DEE2E6"/>
            </w:tcBorders>
            <w:shd w:val="clear" w:color="auto" w:fill="FFFFFF"/>
            <w:vAlign w:val="center"/>
            <w:hideMark/>
          </w:tcPr>
          <w:p w14:paraId="0C441C5F" w14:textId="77777777" w:rsidR="00B41B48" w:rsidRPr="00B41B48" w:rsidRDefault="00B41B48" w:rsidP="00B41B48">
            <w:pPr>
              <w:spacing w:after="0"/>
              <w:ind w:left="144"/>
              <w:rPr>
                <w:color w:val="000000"/>
              </w:rPr>
            </w:pPr>
            <w:r w:rsidRPr="00B41B48">
              <w:rPr>
                <w:color w:val="000000"/>
              </w:rPr>
              <w:t>None</w:t>
            </w:r>
          </w:p>
        </w:tc>
      </w:tr>
    </w:tbl>
    <w:p w14:paraId="41E0877A" w14:textId="77777777" w:rsidR="00B41B48" w:rsidRPr="00B41B48" w:rsidRDefault="00B41B48" w:rsidP="00B41B48">
      <w:pPr>
        <w:pStyle w:val="NormalWeb"/>
        <w:shd w:val="clear" w:color="auto" w:fill="FFFFFF"/>
        <w:spacing w:before="0" w:beforeAutospacing="0"/>
        <w:rPr>
          <w:rFonts w:asciiTheme="minorHAnsi" w:hAnsiTheme="minorHAnsi" w:cs="Segoe UI"/>
          <w:sz w:val="22"/>
          <w:szCs w:val="22"/>
        </w:rPr>
      </w:pPr>
      <w:r w:rsidRPr="00B41B48">
        <w:rPr>
          <w:rFonts w:asciiTheme="minorHAnsi" w:hAnsiTheme="minorHAnsi" w:cs="Segoe UI"/>
          <w:sz w:val="22"/>
          <w:szCs w:val="22"/>
        </w:rPr>
        <w:t>HCP=healthcare personnel; PPE=personal protective equipment</w:t>
      </w:r>
    </w:p>
    <w:p w14:paraId="4DD29694" w14:textId="53E97F33" w:rsidR="00B41B48" w:rsidRDefault="00B41B48" w:rsidP="00B41B48">
      <w:pPr>
        <w:pStyle w:val="NormalWeb"/>
        <w:shd w:val="clear" w:color="auto" w:fill="FFFFFF"/>
        <w:spacing w:before="0" w:beforeAutospacing="0"/>
        <w:rPr>
          <w:rFonts w:asciiTheme="minorHAnsi" w:hAnsiTheme="minorHAnsi" w:cs="Segoe UI"/>
          <w:sz w:val="22"/>
          <w:szCs w:val="22"/>
        </w:rPr>
        <w:sectPr w:rsidR="00B41B48" w:rsidSect="00B41B48">
          <w:pgSz w:w="15840" w:h="12240" w:orient="landscape"/>
          <w:pgMar w:top="720" w:right="720" w:bottom="720" w:left="720" w:header="720" w:footer="720" w:gutter="0"/>
          <w:cols w:space="720"/>
          <w:docGrid w:linePitch="360"/>
        </w:sectPr>
      </w:pPr>
    </w:p>
    <w:p w14:paraId="5FFCCB14" w14:textId="77777777" w:rsidR="00B41B48" w:rsidRDefault="00B41B48" w:rsidP="00B41B48">
      <w:pPr>
        <w:pStyle w:val="NormalWeb"/>
        <w:shd w:val="clear" w:color="auto" w:fill="FFFFFF"/>
        <w:spacing w:before="0" w:beforeAutospacing="0"/>
        <w:rPr>
          <w:rFonts w:asciiTheme="minorHAnsi" w:hAnsiTheme="minorHAnsi" w:cs="Segoe UI"/>
          <w:sz w:val="22"/>
          <w:szCs w:val="22"/>
          <w:vertAlign w:val="superscript"/>
        </w:rPr>
      </w:pPr>
      <w:proofErr w:type="spellStart"/>
      <w:r w:rsidRPr="00B41B48">
        <w:rPr>
          <w:rFonts w:asciiTheme="minorHAnsi" w:hAnsiTheme="minorHAnsi" w:cs="Segoe UI"/>
          <w:sz w:val="22"/>
          <w:szCs w:val="22"/>
          <w:vertAlign w:val="superscript"/>
        </w:rPr>
        <w:lastRenderedPageBreak/>
        <w:t>a</w:t>
      </w:r>
      <w:r w:rsidRPr="00B41B48">
        <w:rPr>
          <w:rFonts w:asciiTheme="minorHAnsi" w:hAnsiTheme="minorHAnsi" w:cs="Segoe UI"/>
          <w:sz w:val="22"/>
          <w:szCs w:val="22"/>
        </w:rPr>
        <w:t>The</w:t>
      </w:r>
      <w:proofErr w:type="spellEnd"/>
      <w:r w:rsidRPr="00B41B48">
        <w:rPr>
          <w:rFonts w:asciiTheme="minorHAnsi" w:hAnsiTheme="minorHAnsi" w:cs="Segoe UI"/>
          <w:sz w:val="22"/>
          <w:szCs w:val="22"/>
        </w:rPr>
        <w:t xml:space="preserve"> risk category for these rows would be elevated by one level if HCP had extensive body contact with the patients (e.g., rolling the pat</w:t>
      </w:r>
      <w:r>
        <w:rPr>
          <w:rFonts w:asciiTheme="minorHAnsi" w:hAnsiTheme="minorHAnsi" w:cs="Segoe UI"/>
          <w:sz w:val="22"/>
          <w:szCs w:val="22"/>
        </w:rPr>
        <w:t>i</w:t>
      </w:r>
      <w:r w:rsidRPr="00B41B48">
        <w:rPr>
          <w:rFonts w:asciiTheme="minorHAnsi" w:hAnsiTheme="minorHAnsi" w:cs="Segoe UI"/>
          <w:sz w:val="22"/>
          <w:szCs w:val="22"/>
        </w:rPr>
        <w:t>ent)</w:t>
      </w:r>
    </w:p>
    <w:p w14:paraId="4CBEF468" w14:textId="1CC22B1D" w:rsidR="00B41B48" w:rsidRPr="00B41B48" w:rsidRDefault="00B41B48" w:rsidP="00B41B48">
      <w:pPr>
        <w:pStyle w:val="NormalWeb"/>
        <w:shd w:val="clear" w:color="auto" w:fill="FFFFFF"/>
        <w:spacing w:before="0" w:beforeAutospacing="0"/>
        <w:rPr>
          <w:rFonts w:asciiTheme="minorHAnsi" w:hAnsiTheme="minorHAnsi" w:cs="Segoe UI"/>
          <w:sz w:val="22"/>
          <w:szCs w:val="22"/>
          <w:vertAlign w:val="superscript"/>
        </w:rPr>
      </w:pPr>
      <w:proofErr w:type="spellStart"/>
      <w:r w:rsidRPr="00B41B48">
        <w:rPr>
          <w:rFonts w:asciiTheme="minorHAnsi" w:hAnsiTheme="minorHAnsi" w:cs="Segoe UI"/>
          <w:sz w:val="22"/>
          <w:szCs w:val="22"/>
          <w:vertAlign w:val="superscript"/>
        </w:rPr>
        <w:t>b</w:t>
      </w:r>
      <w:r w:rsidRPr="00B41B48">
        <w:rPr>
          <w:rFonts w:asciiTheme="minorHAnsi" w:hAnsiTheme="minorHAnsi" w:cs="Segoe UI"/>
          <w:sz w:val="22"/>
          <w:szCs w:val="22"/>
        </w:rPr>
        <w:t>The</w:t>
      </w:r>
      <w:proofErr w:type="spellEnd"/>
      <w:r w:rsidRPr="00B41B48">
        <w:rPr>
          <w:rFonts w:asciiTheme="minorHAnsi" w:hAnsiTheme="minorHAnsi" w:cs="Segoe UI"/>
          <w:sz w:val="22"/>
          <w:szCs w:val="22"/>
        </w:rPr>
        <w:t xml:space="preserve"> risk category for these rows would be elevated by one level if HCP performed or were present for a procedure likely to generate higher concentrations of respiratory secretions or aerosols (e.g., cardiopulmonary resuscitation, intubation, </w:t>
      </w:r>
      <w:proofErr w:type="spellStart"/>
      <w:r w:rsidRPr="00B41B48">
        <w:rPr>
          <w:rFonts w:asciiTheme="minorHAnsi" w:hAnsiTheme="minorHAnsi" w:cs="Segoe UI"/>
          <w:sz w:val="22"/>
          <w:szCs w:val="22"/>
        </w:rPr>
        <w:t>extubation</w:t>
      </w:r>
      <w:proofErr w:type="spellEnd"/>
      <w:r w:rsidRPr="00B41B48">
        <w:rPr>
          <w:rFonts w:asciiTheme="minorHAnsi" w:hAnsiTheme="minorHAnsi" w:cs="Segoe UI"/>
          <w:sz w:val="22"/>
          <w:szCs w:val="22"/>
        </w:rPr>
        <w:t>, bronchoscopy, nebulizer therapy, sputum induction). For example, HCP who were wearing a gown, gloves, eye protection and a facemask (instead of a respirator) during an aerosol generating procedure would be considered to have a medium-risk exposure.</w:t>
      </w:r>
    </w:p>
    <w:p w14:paraId="54B3241B" w14:textId="77777777" w:rsidR="00B41B48" w:rsidRPr="00E92DF8" w:rsidRDefault="00B41B48" w:rsidP="00E92DF8">
      <w:pPr>
        <w:pStyle w:val="NormalWeb"/>
        <w:shd w:val="clear" w:color="auto" w:fill="FFFFFF"/>
        <w:spacing w:before="0" w:beforeAutospacing="0" w:after="0" w:afterAutospacing="0"/>
        <w:rPr>
          <w:rFonts w:asciiTheme="minorHAnsi" w:hAnsiTheme="minorHAnsi" w:cs="Segoe UI"/>
          <w:i/>
          <w:iCs/>
          <w:sz w:val="22"/>
          <w:szCs w:val="22"/>
        </w:rPr>
      </w:pPr>
      <w:r w:rsidRPr="00E92DF8">
        <w:rPr>
          <w:rFonts w:asciiTheme="minorHAnsi" w:hAnsiTheme="minorHAnsi" w:cs="Segoe UI"/>
          <w:i/>
          <w:iCs/>
          <w:sz w:val="22"/>
          <w:szCs w:val="22"/>
        </w:rPr>
        <w:t>Additional Scenarios:</w:t>
      </w:r>
    </w:p>
    <w:p w14:paraId="777CEFFB" w14:textId="77777777" w:rsidR="00B41B48" w:rsidRPr="00B41B48" w:rsidRDefault="00B41B48" w:rsidP="00974B28">
      <w:pPr>
        <w:numPr>
          <w:ilvl w:val="0"/>
          <w:numId w:val="9"/>
        </w:numPr>
        <w:shd w:val="clear" w:color="auto" w:fill="FFFFFF"/>
        <w:spacing w:before="100" w:beforeAutospacing="1" w:line="240" w:lineRule="auto"/>
        <w:rPr>
          <w:rFonts w:cs="Segoe UI"/>
          <w:color w:val="000000"/>
        </w:rPr>
      </w:pPr>
      <w:r w:rsidRPr="00B41B48">
        <w:rPr>
          <w:rFonts w:cs="Segoe UI"/>
          <w:color w:val="000000"/>
        </w:rPr>
        <w:t>Refer to the footnotes above for scenarios that would elevate the risk level for exposed HCP. For example, HCP who were wearing a gown, gloves, eye protection, and a facemask (instead of a respirator) during an aerosol generating procedure would be considered to have a medium-risk exposure.</w:t>
      </w:r>
    </w:p>
    <w:p w14:paraId="0F0F57AA" w14:textId="77777777" w:rsidR="00B41B48" w:rsidRPr="00B41B48" w:rsidRDefault="00B41B48" w:rsidP="00974B28">
      <w:pPr>
        <w:numPr>
          <w:ilvl w:val="0"/>
          <w:numId w:val="9"/>
        </w:numPr>
        <w:shd w:val="clear" w:color="auto" w:fill="FFFFFF"/>
        <w:spacing w:before="100" w:beforeAutospacing="1" w:line="240" w:lineRule="auto"/>
        <w:rPr>
          <w:rFonts w:cs="Segoe UI"/>
          <w:color w:val="000000"/>
        </w:rPr>
      </w:pPr>
      <w:r w:rsidRPr="00B41B48">
        <w:rPr>
          <w:rFonts w:cs="Segoe UI"/>
          <w:color w:val="000000"/>
        </w:rPr>
        <w:t>Proper adherence to currently recommended infection control practices, including all recommended PPE, should protect HCP having prolonged close contact with patients with COVID-19. However, to account for any inconsistencies in use or adherence that could result in unrecognized exposures, HCP should still perform self-monitoring with delegated supervision.</w:t>
      </w:r>
    </w:p>
    <w:p w14:paraId="5AA2C263" w14:textId="110FD84D" w:rsidR="00B41B48" w:rsidRPr="00B41B48" w:rsidRDefault="00B41B48" w:rsidP="00974B28">
      <w:pPr>
        <w:numPr>
          <w:ilvl w:val="0"/>
          <w:numId w:val="9"/>
        </w:numPr>
        <w:shd w:val="clear" w:color="auto" w:fill="FFFFFF"/>
        <w:spacing w:before="100" w:beforeAutospacing="1" w:line="240" w:lineRule="auto"/>
        <w:rPr>
          <w:rFonts w:cs="Segoe UI"/>
          <w:color w:val="000000"/>
        </w:rPr>
      </w:pPr>
      <w:r w:rsidRPr="00B41B48">
        <w:rPr>
          <w:rFonts w:cs="Segoe UI"/>
          <w:color w:val="000000"/>
        </w:rPr>
        <w:t xml:space="preserve">HCP not using all recommended PPE who have only brief interactions with a patient regardless of whether patient was wearing a cloth face covering or facemask are considered low-risk. Examples of brief interactions include:  brief conversation at a triage desk; briefly entering a patient room but not having direct contact with the patient or the </w:t>
      </w:r>
      <w:r w:rsidR="00591AF7" w:rsidRPr="00B41B48">
        <w:rPr>
          <w:rFonts w:cs="Segoe UI"/>
          <w:color w:val="000000"/>
        </w:rPr>
        <w:t>patient’s secretions</w:t>
      </w:r>
      <w:r w:rsidRPr="00B41B48">
        <w:rPr>
          <w:rFonts w:cs="Segoe UI"/>
          <w:color w:val="000000"/>
        </w:rPr>
        <w:t>/excretions; entering the patient room immediately after the patient was discharged.</w:t>
      </w:r>
    </w:p>
    <w:p w14:paraId="3108418F" w14:textId="77777777" w:rsidR="00B41B48" w:rsidRPr="00B41B48" w:rsidRDefault="00B41B48" w:rsidP="00974B28">
      <w:pPr>
        <w:numPr>
          <w:ilvl w:val="0"/>
          <w:numId w:val="9"/>
        </w:numPr>
        <w:shd w:val="clear" w:color="auto" w:fill="FFFFFF"/>
        <w:spacing w:before="100" w:beforeAutospacing="1" w:line="240" w:lineRule="auto"/>
        <w:rPr>
          <w:rFonts w:cs="Segoe UI"/>
          <w:color w:val="000000"/>
        </w:rPr>
      </w:pPr>
      <w:r w:rsidRPr="00B41B48">
        <w:rPr>
          <w:rFonts w:cs="Segoe UI"/>
          <w:color w:val="000000"/>
        </w:rPr>
        <w:t>HCP who walk by a patient or who have no direct contact with the patient or their secretions/excretions and no entry into the patient room are considered to have no identifiable risk.</w:t>
      </w:r>
    </w:p>
    <w:p w14:paraId="24C7CC83" w14:textId="3E85FCAC" w:rsidR="00B41B48" w:rsidRDefault="00B41B48" w:rsidP="00B41B48">
      <w:pPr>
        <w:pStyle w:val="Heading4"/>
        <w:shd w:val="clear" w:color="auto" w:fill="FFFFFF"/>
        <w:rPr>
          <w:rFonts w:asciiTheme="minorHAnsi" w:hAnsiTheme="minorHAnsi"/>
          <w:b/>
          <w:bCs/>
          <w:color w:val="1F497D" w:themeColor="text2"/>
        </w:rPr>
      </w:pPr>
      <w:r w:rsidRPr="00E92DF8">
        <w:rPr>
          <w:rFonts w:asciiTheme="minorHAnsi" w:hAnsiTheme="minorHAnsi"/>
          <w:b/>
          <w:bCs/>
          <w:color w:val="1F497D" w:themeColor="text2"/>
        </w:rPr>
        <w:t>III. Recommendations for Monitoring Based on COVID-19 Exposure Risk</w:t>
      </w:r>
    </w:p>
    <w:p w14:paraId="353B335E" w14:textId="77777777" w:rsidR="00E92DF8" w:rsidRPr="00E92DF8" w:rsidRDefault="00E92DF8" w:rsidP="00E92DF8">
      <w:pPr>
        <w:spacing w:after="0"/>
      </w:pPr>
    </w:p>
    <w:p w14:paraId="1FFD94F5" w14:textId="77777777" w:rsidR="00B41B48" w:rsidRPr="00B41B48" w:rsidRDefault="00B41B48" w:rsidP="00B41B48">
      <w:pPr>
        <w:pStyle w:val="NormalWeb"/>
        <w:shd w:val="clear" w:color="auto" w:fill="FFFFFF"/>
        <w:spacing w:before="0" w:beforeAutospacing="0"/>
        <w:rPr>
          <w:rFonts w:asciiTheme="minorHAnsi" w:hAnsiTheme="minorHAnsi" w:cs="Segoe UI"/>
          <w:sz w:val="22"/>
          <w:szCs w:val="22"/>
        </w:rPr>
      </w:pPr>
      <w:r w:rsidRPr="00B41B48">
        <w:rPr>
          <w:rFonts w:asciiTheme="minorHAnsi" w:hAnsiTheme="minorHAnsi" w:cs="Segoe UI"/>
          <w:b/>
          <w:bCs/>
          <w:sz w:val="22"/>
          <w:szCs w:val="22"/>
        </w:rPr>
        <w:t>HCP in any of the risk exposure categories who develop signs or symptoms compatible with COVID-19 must contact their established point of contact (public health authorities or their facility’s occupational health program) for medical evaluation prior to returning to work</w:t>
      </w:r>
    </w:p>
    <w:p w14:paraId="5B81241B" w14:textId="666DB7DE" w:rsidR="00E37079" w:rsidRDefault="00B41B48" w:rsidP="00974B28">
      <w:pPr>
        <w:numPr>
          <w:ilvl w:val="0"/>
          <w:numId w:val="10"/>
        </w:numPr>
        <w:shd w:val="clear" w:color="auto" w:fill="FFFFFF"/>
        <w:spacing w:before="100" w:beforeAutospacing="1" w:after="0" w:line="240" w:lineRule="auto"/>
        <w:rPr>
          <w:rFonts w:cs="Segoe UI"/>
          <w:color w:val="000000"/>
        </w:rPr>
      </w:pPr>
      <w:r w:rsidRPr="00B41B48">
        <w:rPr>
          <w:rStyle w:val="Emphasis"/>
          <w:rFonts w:cs="Segoe UI"/>
          <w:b/>
          <w:bCs/>
          <w:color w:val="000000"/>
        </w:rPr>
        <w:t>High- or Medium-risk</w:t>
      </w:r>
      <w:r w:rsidRPr="00B41B48">
        <w:rPr>
          <w:rStyle w:val="Strong"/>
          <w:rFonts w:cs="Segoe UI"/>
          <w:color w:val="000000"/>
        </w:rPr>
        <w:t> Exposure Category</w:t>
      </w:r>
      <w:r w:rsidRPr="00B41B48">
        <w:rPr>
          <w:rFonts w:cs="Segoe UI"/>
          <w:color w:val="000000"/>
        </w:rPr>
        <w:br/>
      </w:r>
      <w:r w:rsidRPr="00E92DF8">
        <w:rPr>
          <w:rStyle w:val="Strong"/>
          <w:rFonts w:cs="Segoe UI"/>
          <w:b w:val="0"/>
          <w:bCs w:val="0"/>
          <w:color w:val="000000"/>
        </w:rPr>
        <w:t>HCP in the </w:t>
      </w:r>
      <w:r w:rsidRPr="00E92DF8">
        <w:rPr>
          <w:rStyle w:val="Emphasis"/>
          <w:rFonts w:cs="Segoe UI"/>
          <w:color w:val="000000"/>
        </w:rPr>
        <w:t>high- or medium-risk</w:t>
      </w:r>
      <w:r w:rsidRPr="00E92DF8">
        <w:rPr>
          <w:rStyle w:val="Strong"/>
          <w:rFonts w:cs="Segoe UI"/>
          <w:b w:val="0"/>
          <w:bCs w:val="0"/>
          <w:color w:val="000000"/>
        </w:rPr>
        <w:t> category</w:t>
      </w:r>
      <w:r w:rsidRPr="00B41B48">
        <w:rPr>
          <w:rFonts w:cs="Segoe UI"/>
          <w:color w:val="000000"/>
        </w:rPr>
        <w:t> should undergo active monitoring, including restriction from work in any healthcare setting until 14 days after their last exposure. If they develop any fever (measured temperature </w:t>
      </w:r>
      <w:r w:rsidRPr="00B41B48">
        <w:rPr>
          <w:rFonts w:cs="Segoe UI"/>
          <w:color w:val="000000"/>
          <w:u w:val="single"/>
        </w:rPr>
        <w:t>&gt;</w:t>
      </w:r>
      <w:r w:rsidRPr="00B41B48">
        <w:rPr>
          <w:rFonts w:cs="Segoe UI"/>
          <w:color w:val="000000"/>
        </w:rPr>
        <w:t>100.0</w:t>
      </w:r>
      <w:r w:rsidRPr="00B41B48">
        <w:rPr>
          <w:rFonts w:cs="Segoe UI"/>
          <w:color w:val="000000"/>
          <w:vertAlign w:val="superscript"/>
        </w:rPr>
        <w:t>o</w:t>
      </w:r>
      <w:r w:rsidRPr="00B41B48">
        <w:rPr>
          <w:rFonts w:cs="Segoe UI"/>
          <w:color w:val="000000"/>
        </w:rPr>
        <w:t>F or subjective fever) OR symptoms consistent with COVID-19  (e.g., cough, shortness of breath, sore throat, myalgias, malaise) they should immediately self-isolate (separate themselves from others) and notify their local or state public health authority and healthcare facility promptly so that they can coordinate consultation and referral to a healthcare provider for further evaluation.</w:t>
      </w:r>
    </w:p>
    <w:p w14:paraId="3C1ED35C" w14:textId="77777777" w:rsidR="00E37079" w:rsidRPr="00E37079" w:rsidRDefault="00E37079" w:rsidP="00E37079">
      <w:pPr>
        <w:shd w:val="clear" w:color="auto" w:fill="FFFFFF"/>
        <w:spacing w:after="0" w:line="240" w:lineRule="auto"/>
        <w:ind w:left="720"/>
        <w:rPr>
          <w:rFonts w:cs="Segoe UI"/>
          <w:color w:val="000000"/>
        </w:rPr>
      </w:pPr>
    </w:p>
    <w:p w14:paraId="16BB01DA" w14:textId="49B67505" w:rsidR="00B41B48" w:rsidRPr="00B41B48" w:rsidRDefault="00B41B48" w:rsidP="00974B28">
      <w:pPr>
        <w:numPr>
          <w:ilvl w:val="0"/>
          <w:numId w:val="10"/>
        </w:numPr>
        <w:shd w:val="clear" w:color="auto" w:fill="FFFFFF"/>
        <w:spacing w:after="100" w:afterAutospacing="1" w:line="240" w:lineRule="auto"/>
        <w:rPr>
          <w:rFonts w:cs="Segoe UI"/>
          <w:color w:val="000000"/>
        </w:rPr>
      </w:pPr>
      <w:r w:rsidRPr="00B41B48">
        <w:rPr>
          <w:rStyle w:val="Emphasis"/>
          <w:rFonts w:cs="Segoe UI"/>
          <w:b/>
          <w:bCs/>
          <w:color w:val="000000"/>
        </w:rPr>
        <w:t>Low-risk</w:t>
      </w:r>
      <w:r w:rsidRPr="00B41B48">
        <w:rPr>
          <w:rStyle w:val="Strong"/>
          <w:rFonts w:cs="Segoe UI"/>
          <w:color w:val="000000"/>
        </w:rPr>
        <w:t> Exposure Category</w:t>
      </w:r>
      <w:r w:rsidRPr="00B41B48">
        <w:rPr>
          <w:rFonts w:cs="Segoe UI"/>
          <w:b/>
          <w:bCs/>
          <w:color w:val="000000"/>
        </w:rPr>
        <w:br/>
      </w:r>
      <w:r w:rsidRPr="00E92DF8">
        <w:rPr>
          <w:rStyle w:val="Strong"/>
          <w:rFonts w:cs="Segoe UI"/>
          <w:b w:val="0"/>
          <w:bCs w:val="0"/>
          <w:color w:val="000000"/>
        </w:rPr>
        <w:t>HCP in the</w:t>
      </w:r>
      <w:r w:rsidRPr="00E92DF8">
        <w:rPr>
          <w:rStyle w:val="Strong"/>
          <w:rFonts w:cs="Segoe UI"/>
          <w:color w:val="000000"/>
        </w:rPr>
        <w:t> </w:t>
      </w:r>
      <w:r w:rsidRPr="00E92DF8">
        <w:rPr>
          <w:rStyle w:val="Emphasis"/>
          <w:rFonts w:cs="Segoe UI"/>
          <w:color w:val="000000"/>
        </w:rPr>
        <w:t>low-risk</w:t>
      </w:r>
      <w:r w:rsidRPr="00E92DF8">
        <w:rPr>
          <w:rStyle w:val="Strong"/>
          <w:rFonts w:cs="Segoe UI"/>
          <w:b w:val="0"/>
          <w:bCs w:val="0"/>
          <w:color w:val="000000"/>
        </w:rPr>
        <w:t> category</w:t>
      </w:r>
      <w:r w:rsidRPr="00E92DF8">
        <w:rPr>
          <w:rFonts w:cs="Segoe UI"/>
          <w:color w:val="000000"/>
        </w:rPr>
        <w:t> should</w:t>
      </w:r>
      <w:r w:rsidRPr="00B41B48">
        <w:rPr>
          <w:rFonts w:cs="Segoe UI"/>
          <w:color w:val="000000"/>
        </w:rPr>
        <w:t xml:space="preserve"> perform self-monitoring with delegated supervision until 14 days after the last potential exposure. Asymptomatic HCP in this category are not restricted from work. They should check their temperature twice daily and remain alert for symptoms consistent with COVID-19 (e.g., cough, shortness of breath, sore throat, myalgias, malaise). They should ensure they are afebrile and asymptomatic before leaving home and reporting for work. If they do not have fever or symptoms consistent with COVID-19 they may report to work. If they develop fever (measured temperature </w:t>
      </w:r>
      <w:r w:rsidRPr="00B41B48">
        <w:rPr>
          <w:rFonts w:cs="Segoe UI"/>
          <w:color w:val="000000"/>
          <w:u w:val="single"/>
        </w:rPr>
        <w:t>&gt;</w:t>
      </w:r>
      <w:r w:rsidRPr="00B41B48">
        <w:rPr>
          <w:rFonts w:cs="Segoe UI"/>
          <w:color w:val="000000"/>
        </w:rPr>
        <w:t> 100.0</w:t>
      </w:r>
      <w:r w:rsidRPr="00B41B48">
        <w:rPr>
          <w:rFonts w:cs="Segoe UI"/>
          <w:color w:val="000000"/>
          <w:vertAlign w:val="superscript"/>
        </w:rPr>
        <w:t> </w:t>
      </w:r>
      <w:proofErr w:type="spellStart"/>
      <w:r w:rsidRPr="00B41B48">
        <w:rPr>
          <w:rFonts w:cs="Segoe UI"/>
          <w:color w:val="000000"/>
          <w:vertAlign w:val="superscript"/>
        </w:rPr>
        <w:t>o</w:t>
      </w:r>
      <w:r w:rsidRPr="00B41B48">
        <w:rPr>
          <w:rFonts w:cs="Segoe UI"/>
          <w:color w:val="000000"/>
        </w:rPr>
        <w:t>F</w:t>
      </w:r>
      <w:proofErr w:type="spellEnd"/>
      <w:r w:rsidRPr="00B41B48">
        <w:rPr>
          <w:rFonts w:cs="Segoe UI"/>
          <w:color w:val="000000"/>
        </w:rPr>
        <w:t xml:space="preserve"> or subjective fever) OR symptoms consistent with COVID-19 they should immediately self-isolate (separate themselves from others) and notify their local or state public health </w:t>
      </w:r>
      <w:r w:rsidRPr="00B41B48">
        <w:rPr>
          <w:rFonts w:cs="Segoe UI"/>
          <w:color w:val="000000"/>
        </w:rPr>
        <w:lastRenderedPageBreak/>
        <w:t>authority or healthcare facility promptly so that they can coordinate consultation and referral to a healthcare provider for further evaluation.</w:t>
      </w:r>
    </w:p>
    <w:p w14:paraId="1F42CA0F" w14:textId="30B8815D" w:rsidR="00B41B48" w:rsidRPr="00B41B48" w:rsidRDefault="00B41B48" w:rsidP="00E92DF8">
      <w:pPr>
        <w:shd w:val="clear" w:color="auto" w:fill="FFFFFF"/>
        <w:spacing w:before="100" w:beforeAutospacing="1" w:after="100" w:afterAutospacing="1"/>
        <w:ind w:left="360"/>
        <w:rPr>
          <w:rFonts w:cs="Segoe UI"/>
          <w:color w:val="000000"/>
        </w:rPr>
      </w:pPr>
      <w:r w:rsidRPr="00B41B48">
        <w:rPr>
          <w:rFonts w:cs="Segoe UI"/>
          <w:color w:val="000000"/>
        </w:rPr>
        <w:t xml:space="preserve">On days HCP are scheduled to work, healthcare facilities could consider </w:t>
      </w:r>
      <w:r w:rsidR="00FE10A2" w:rsidRPr="00B41B48">
        <w:rPr>
          <w:rFonts w:cs="Segoe UI"/>
          <w:color w:val="000000"/>
        </w:rPr>
        <w:t>measuring temperature</w:t>
      </w:r>
      <w:r w:rsidRPr="00B41B48">
        <w:rPr>
          <w:rFonts w:cs="Segoe UI"/>
          <w:color w:val="000000"/>
        </w:rPr>
        <w:t xml:space="preserve"> and assessing symptoms prior to starting work. Alternatively, facilities could consider having HCP report temperature and symptoms to occupational health prior to starting work. Modes of communication may include telephone calls or any electronic or internet-based means of communication.</w:t>
      </w:r>
    </w:p>
    <w:p w14:paraId="604E6E53" w14:textId="62819C35" w:rsidR="00B41B48" w:rsidRDefault="00B41B48" w:rsidP="00974B28">
      <w:pPr>
        <w:numPr>
          <w:ilvl w:val="0"/>
          <w:numId w:val="10"/>
        </w:numPr>
        <w:shd w:val="clear" w:color="auto" w:fill="FFFFFF"/>
        <w:spacing w:before="100" w:beforeAutospacing="1" w:after="0" w:line="240" w:lineRule="auto"/>
        <w:rPr>
          <w:rFonts w:cs="Segoe UI"/>
          <w:color w:val="000000"/>
        </w:rPr>
      </w:pPr>
      <w:r w:rsidRPr="00B41B48">
        <w:rPr>
          <w:rStyle w:val="Strong"/>
          <w:rFonts w:cs="Segoe UI"/>
          <w:color w:val="000000"/>
        </w:rPr>
        <w:t>HCP who Adhere to All Recommended Infection Prevention and Control Practices</w:t>
      </w:r>
      <w:r w:rsidRPr="00B41B48">
        <w:rPr>
          <w:rFonts w:cs="Segoe UI"/>
          <w:b/>
          <w:bCs/>
          <w:color w:val="000000"/>
        </w:rPr>
        <w:br/>
      </w:r>
      <w:r w:rsidRPr="00B41B48">
        <w:rPr>
          <w:rFonts w:cs="Segoe UI"/>
          <w:color w:val="000000"/>
        </w:rPr>
        <w:t>Proper adherence to currently recommended infection control practices, including all recommended PPE, should protect HCP having prolonged close contact with patients infected with COVID-19. However, to account for any inconsistencies in use or adherence that could result in unrecognized exposures, HCP should still perform self-monitoring with delegated supervision as described under the low-risk exposure category.</w:t>
      </w:r>
    </w:p>
    <w:p w14:paraId="21529B6F" w14:textId="77777777" w:rsidR="00E37079" w:rsidRPr="00B41B48" w:rsidRDefault="00E37079" w:rsidP="00E37079">
      <w:pPr>
        <w:shd w:val="clear" w:color="auto" w:fill="FFFFFF"/>
        <w:spacing w:after="0" w:line="240" w:lineRule="auto"/>
        <w:ind w:left="720"/>
        <w:rPr>
          <w:rFonts w:cs="Segoe UI"/>
          <w:color w:val="000000"/>
        </w:rPr>
      </w:pPr>
    </w:p>
    <w:p w14:paraId="3D22EC9A" w14:textId="1D29E7E8" w:rsidR="00E37079" w:rsidRDefault="00B41B48" w:rsidP="009D5BA1">
      <w:pPr>
        <w:numPr>
          <w:ilvl w:val="0"/>
          <w:numId w:val="10"/>
        </w:numPr>
        <w:shd w:val="clear" w:color="auto" w:fill="FFFFFF"/>
        <w:spacing w:after="0" w:line="240" w:lineRule="auto"/>
        <w:rPr>
          <w:rFonts w:cs="Segoe UI"/>
          <w:color w:val="000000"/>
        </w:rPr>
      </w:pPr>
      <w:r w:rsidRPr="00B41B48">
        <w:rPr>
          <w:rStyle w:val="Emphasis"/>
          <w:rFonts w:cs="Segoe UI"/>
          <w:b/>
          <w:bCs/>
          <w:color w:val="000000"/>
        </w:rPr>
        <w:t>No Identifiable risk</w:t>
      </w:r>
      <w:r w:rsidRPr="00B41B48">
        <w:rPr>
          <w:rStyle w:val="Strong"/>
          <w:rFonts w:cs="Segoe UI"/>
          <w:color w:val="000000"/>
        </w:rPr>
        <w:t> Exposure Category</w:t>
      </w:r>
      <w:r w:rsidRPr="00B41B48">
        <w:rPr>
          <w:rFonts w:cs="Segoe UI"/>
          <w:b/>
          <w:bCs/>
          <w:color w:val="000000"/>
        </w:rPr>
        <w:br/>
      </w:r>
      <w:r w:rsidRPr="00E92DF8">
        <w:rPr>
          <w:rStyle w:val="Strong"/>
          <w:rFonts w:cs="Segoe UI"/>
          <w:b w:val="0"/>
          <w:bCs w:val="0"/>
          <w:color w:val="000000"/>
        </w:rPr>
        <w:t>HCP in the </w:t>
      </w:r>
      <w:r w:rsidRPr="00E92DF8">
        <w:rPr>
          <w:rStyle w:val="Emphasis"/>
          <w:rFonts w:cs="Segoe UI"/>
          <w:color w:val="000000"/>
        </w:rPr>
        <w:t>no identifiable risk</w:t>
      </w:r>
      <w:r w:rsidRPr="00E92DF8">
        <w:rPr>
          <w:rStyle w:val="Strong"/>
          <w:rFonts w:cs="Segoe UI"/>
          <w:b w:val="0"/>
          <w:bCs w:val="0"/>
          <w:color w:val="000000"/>
        </w:rPr>
        <w:t> category</w:t>
      </w:r>
      <w:r w:rsidRPr="00B41B48">
        <w:rPr>
          <w:rStyle w:val="Strong"/>
          <w:rFonts w:cs="Segoe UI"/>
          <w:color w:val="000000"/>
        </w:rPr>
        <w:t> </w:t>
      </w:r>
      <w:r w:rsidRPr="00B41B48">
        <w:rPr>
          <w:rFonts w:cs="Segoe UI"/>
          <w:color w:val="000000"/>
        </w:rPr>
        <w:t>do not require monitoring or restriction from work.</w:t>
      </w:r>
    </w:p>
    <w:p w14:paraId="6BB2653A" w14:textId="77777777" w:rsidR="00BD0C88" w:rsidRPr="00CF7D29" w:rsidRDefault="00BD0C88" w:rsidP="00BD0C88">
      <w:pPr>
        <w:shd w:val="clear" w:color="auto" w:fill="FFFFFF"/>
        <w:spacing w:after="0" w:line="240" w:lineRule="auto"/>
        <w:rPr>
          <w:rFonts w:cs="Segoe UI"/>
          <w:color w:val="000000"/>
        </w:rPr>
      </w:pPr>
    </w:p>
    <w:p w14:paraId="4D196CE4" w14:textId="77777777" w:rsidR="00B41B48" w:rsidRPr="00B41B48" w:rsidRDefault="00B41B48" w:rsidP="00BD0C88">
      <w:pPr>
        <w:numPr>
          <w:ilvl w:val="0"/>
          <w:numId w:val="10"/>
        </w:numPr>
        <w:shd w:val="clear" w:color="auto" w:fill="FFFFFF"/>
        <w:spacing w:after="0" w:line="240" w:lineRule="auto"/>
        <w:rPr>
          <w:rFonts w:cs="Segoe UI"/>
          <w:color w:val="000000"/>
        </w:rPr>
      </w:pPr>
      <w:r w:rsidRPr="00B41B48">
        <w:rPr>
          <w:rStyle w:val="Strong"/>
          <w:rFonts w:cs="Segoe UI"/>
          <w:color w:val="000000"/>
        </w:rPr>
        <w:t>Community or travel-associated exposures</w:t>
      </w:r>
      <w:r w:rsidRPr="00B41B48">
        <w:rPr>
          <w:rFonts w:cs="Segoe UI"/>
          <w:b/>
          <w:bCs/>
          <w:color w:val="000000"/>
        </w:rPr>
        <w:br/>
      </w:r>
      <w:r w:rsidRPr="00B41B48">
        <w:rPr>
          <w:rFonts w:cs="Segoe UI"/>
          <w:color w:val="000000"/>
        </w:rPr>
        <w:t>HCP with </w:t>
      </w:r>
      <w:hyperlink r:id="rId23" w:history="1">
        <w:r w:rsidRPr="00B41B48">
          <w:rPr>
            <w:rStyle w:val="Hyperlink"/>
            <w:rFonts w:cs="Segoe UI"/>
            <w:color w:val="075290"/>
          </w:rPr>
          <w:t>community-</w:t>
        </w:r>
      </w:hyperlink>
      <w:r w:rsidRPr="00B41B48">
        <w:rPr>
          <w:rFonts w:cs="Segoe UI"/>
          <w:color w:val="000000"/>
        </w:rPr>
        <w:t> or </w:t>
      </w:r>
      <w:hyperlink r:id="rId24" w:history="1">
        <w:r w:rsidRPr="00B41B48">
          <w:rPr>
            <w:rStyle w:val="Hyperlink"/>
            <w:rFonts w:cs="Segoe UI"/>
            <w:color w:val="075290"/>
          </w:rPr>
          <w:t>travel-associated</w:t>
        </w:r>
      </w:hyperlink>
      <w:r w:rsidRPr="00B41B48">
        <w:rPr>
          <w:rFonts w:cs="Segoe UI"/>
          <w:color w:val="000000"/>
        </w:rPr>
        <w:t> exposures to COVID-19  should inform their facility’s occupational health program that they have had a community or travel-associated exposure. Decisions about restriction from work should be made in consultation with the occupational health program. HCP who develop signs or symptoms compatible with COVID-19 should contact their established point of contact (public health authorities or their facility’s occupational health program) for medical evaluation prior to returning to work.</w:t>
      </w:r>
    </w:p>
    <w:p w14:paraId="2A417762" w14:textId="77777777" w:rsidR="00B41B48" w:rsidRDefault="00B41B48"/>
    <w:sectPr w:rsidR="00B41B48" w:rsidSect="00C540A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B7D8E" w14:textId="77777777" w:rsidR="0028760E" w:rsidRDefault="0028760E" w:rsidP="00772069">
      <w:pPr>
        <w:spacing w:after="0" w:line="240" w:lineRule="auto"/>
      </w:pPr>
      <w:r>
        <w:separator/>
      </w:r>
    </w:p>
  </w:endnote>
  <w:endnote w:type="continuationSeparator" w:id="0">
    <w:p w14:paraId="0BD8E9EB" w14:textId="77777777" w:rsidR="0028760E" w:rsidRDefault="0028760E" w:rsidP="00772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6F68A" w14:textId="77777777" w:rsidR="0028760E" w:rsidRDefault="0028760E" w:rsidP="00772069">
      <w:pPr>
        <w:spacing w:after="0" w:line="240" w:lineRule="auto"/>
      </w:pPr>
      <w:r>
        <w:separator/>
      </w:r>
    </w:p>
  </w:footnote>
  <w:footnote w:type="continuationSeparator" w:id="0">
    <w:p w14:paraId="3494DCF5" w14:textId="77777777" w:rsidR="0028760E" w:rsidRDefault="0028760E" w:rsidP="00772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218EA" w14:textId="03B508FF" w:rsidR="008E40C3" w:rsidRDefault="00221A28">
    <w:pPr>
      <w:pStyle w:val="Header"/>
      <w:rPr>
        <w:i/>
        <w:iCs/>
      </w:rPr>
    </w:pPr>
    <w:r>
      <w:rPr>
        <w:i/>
        <w:iCs/>
      </w:rPr>
      <w:t xml:space="preserve">Massachusetts </w:t>
    </w:r>
    <w:r w:rsidR="008E40C3">
      <w:rPr>
        <w:i/>
        <w:iCs/>
      </w:rPr>
      <w:t>COVID-19 COMMAND CENTER</w:t>
    </w:r>
  </w:p>
  <w:p w14:paraId="2966D6BB" w14:textId="11AEA19A" w:rsidR="008E40C3" w:rsidRDefault="002C6AD1">
    <w:pPr>
      <w:pStyle w:val="Header"/>
      <w:rPr>
        <w:i/>
        <w:iCs/>
      </w:rPr>
    </w:pPr>
    <w:r>
      <w:rPr>
        <w:i/>
        <w:iCs/>
      </w:rPr>
      <w:t xml:space="preserve">Healthcare Personnel: </w:t>
    </w:r>
    <w:r w:rsidR="00D34BA3">
      <w:rPr>
        <w:i/>
        <w:iCs/>
      </w:rPr>
      <w:t xml:space="preserve">Occupational Exposure &amp; </w:t>
    </w:r>
    <w:r w:rsidR="008E40C3" w:rsidRPr="00772069">
      <w:rPr>
        <w:i/>
        <w:iCs/>
      </w:rPr>
      <w:t>Return to Work Guidance</w:t>
    </w:r>
    <w:r w:rsidR="008E40C3">
      <w:rPr>
        <w:i/>
        <w:iCs/>
      </w:rPr>
      <w:t xml:space="preserve">, </w:t>
    </w:r>
    <w:r w:rsidR="008E40C3" w:rsidRPr="00772069">
      <w:rPr>
        <w:i/>
        <w:iCs/>
      </w:rPr>
      <w:t>Revised</w:t>
    </w:r>
    <w:r w:rsidR="006A2751">
      <w:rPr>
        <w:i/>
        <w:iCs/>
      </w:rPr>
      <w:t xml:space="preserve"> </w:t>
    </w:r>
    <w:r w:rsidR="00860000">
      <w:rPr>
        <w:i/>
        <w:iCs/>
      </w:rPr>
      <w:t xml:space="preserve">May </w:t>
    </w:r>
    <w:r w:rsidR="001E472F">
      <w:rPr>
        <w:i/>
        <w:iCs/>
      </w:rPr>
      <w:t>7</w:t>
    </w:r>
    <w:r w:rsidR="008E40C3" w:rsidRPr="00772069">
      <w:rPr>
        <w:i/>
        <w:iCs/>
      </w:rPr>
      <w:t>, 2020</w:t>
    </w:r>
  </w:p>
  <w:p w14:paraId="76A2241E" w14:textId="77777777" w:rsidR="00B41B48" w:rsidRPr="00705D40" w:rsidRDefault="00B41B48">
    <w:pPr>
      <w:pStyle w:val="Header"/>
      <w:rPr>
        <w:i/>
        <w:iCs/>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3130"/>
    <w:multiLevelType w:val="multilevel"/>
    <w:tmpl w:val="92984540"/>
    <w:lvl w:ilvl="0">
      <w:start w:val="1"/>
      <w:numFmt w:val="bullet"/>
      <w:lvlText w:val=""/>
      <w:lvlJc w:val="left"/>
      <w:pPr>
        <w:tabs>
          <w:tab w:val="num" w:pos="720"/>
        </w:tabs>
        <w:ind w:left="720" w:hanging="360"/>
      </w:pPr>
      <w:rPr>
        <w:rFonts w:ascii="Symbol" w:hAnsi="Symbol" w:hint="default"/>
        <w:sz w:val="18"/>
        <w:szCs w:val="18"/>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14BA5"/>
    <w:multiLevelType w:val="multilevel"/>
    <w:tmpl w:val="ED1C048C"/>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9C850D6"/>
    <w:multiLevelType w:val="multilevel"/>
    <w:tmpl w:val="D53CEBA4"/>
    <w:lvl w:ilvl="0">
      <w:start w:val="1"/>
      <w:numFmt w:val="decimal"/>
      <w:lvlText w:val="%1."/>
      <w:lvlJc w:val="left"/>
      <w:pPr>
        <w:tabs>
          <w:tab w:val="num" w:pos="360"/>
        </w:tabs>
        <w:ind w:left="360" w:hanging="360"/>
      </w:pPr>
      <w:rPr>
        <w:rFonts w:hint="default"/>
        <w:sz w:val="18"/>
        <w:szCs w:val="18"/>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A380C3D"/>
    <w:multiLevelType w:val="multilevel"/>
    <w:tmpl w:val="ED1C048C"/>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C4F4734"/>
    <w:multiLevelType w:val="multilevel"/>
    <w:tmpl w:val="C4BA8CF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1D2B40D9"/>
    <w:multiLevelType w:val="multilevel"/>
    <w:tmpl w:val="14A6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57662"/>
    <w:multiLevelType w:val="multilevel"/>
    <w:tmpl w:val="C2EA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F1265"/>
    <w:multiLevelType w:val="multilevel"/>
    <w:tmpl w:val="C9D82280"/>
    <w:lvl w:ilvl="0">
      <w:start w:val="1"/>
      <w:numFmt w:val="decimal"/>
      <w:lvlText w:val="%1."/>
      <w:lvlJc w:val="left"/>
      <w:pPr>
        <w:tabs>
          <w:tab w:val="num" w:pos="360"/>
        </w:tabs>
        <w:ind w:left="360" w:hanging="360"/>
      </w:pPr>
      <w:rPr>
        <w:rFonts w:hint="default"/>
        <w:color w:val="auto"/>
        <w:sz w:val="18"/>
        <w:szCs w:val="18"/>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B4830C1"/>
    <w:multiLevelType w:val="multilevel"/>
    <w:tmpl w:val="D4BA734E"/>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3AB6C22"/>
    <w:multiLevelType w:val="multilevel"/>
    <w:tmpl w:val="27FE9AD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BC3F02"/>
    <w:multiLevelType w:val="hybridMultilevel"/>
    <w:tmpl w:val="02C24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320489"/>
    <w:multiLevelType w:val="multilevel"/>
    <w:tmpl w:val="4B10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AE02D8"/>
    <w:multiLevelType w:val="multilevel"/>
    <w:tmpl w:val="ED1C048C"/>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3722D5B"/>
    <w:multiLevelType w:val="multilevel"/>
    <w:tmpl w:val="4E568B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alibri" w:hAnsi="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0204D4"/>
    <w:multiLevelType w:val="multilevel"/>
    <w:tmpl w:val="E3E6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CA1E1F"/>
    <w:multiLevelType w:val="multilevel"/>
    <w:tmpl w:val="71542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2E3800"/>
    <w:multiLevelType w:val="multilevel"/>
    <w:tmpl w:val="27289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D54B91"/>
    <w:multiLevelType w:val="multilevel"/>
    <w:tmpl w:val="59B631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alibri" w:hAnsi="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56706F"/>
    <w:multiLevelType w:val="multilevel"/>
    <w:tmpl w:val="5F70D5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alibri" w:hAnsi="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7"/>
  </w:num>
  <w:num w:numId="3">
    <w:abstractNumId w:val="5"/>
  </w:num>
  <w:num w:numId="4">
    <w:abstractNumId w:val="18"/>
  </w:num>
  <w:num w:numId="5">
    <w:abstractNumId w:val="7"/>
  </w:num>
  <w:num w:numId="6">
    <w:abstractNumId w:val="14"/>
  </w:num>
  <w:num w:numId="7">
    <w:abstractNumId w:val="10"/>
  </w:num>
  <w:num w:numId="8">
    <w:abstractNumId w:val="13"/>
  </w:num>
  <w:num w:numId="9">
    <w:abstractNumId w:val="11"/>
  </w:num>
  <w:num w:numId="10">
    <w:abstractNumId w:val="4"/>
  </w:num>
  <w:num w:numId="11">
    <w:abstractNumId w:val="6"/>
  </w:num>
  <w:num w:numId="12">
    <w:abstractNumId w:val="15"/>
  </w:num>
  <w:num w:numId="13">
    <w:abstractNumId w:val="9"/>
  </w:num>
  <w:num w:numId="14">
    <w:abstractNumId w:val="2"/>
  </w:num>
  <w:num w:numId="15">
    <w:abstractNumId w:val="8"/>
  </w:num>
  <w:num w:numId="16">
    <w:abstractNumId w:val="1"/>
  </w:num>
  <w:num w:numId="17">
    <w:abstractNumId w:val="0"/>
  </w:num>
  <w:num w:numId="18">
    <w:abstractNumId w:val="3"/>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069"/>
    <w:rsid w:val="00006D92"/>
    <w:rsid w:val="000336EF"/>
    <w:rsid w:val="00063382"/>
    <w:rsid w:val="000F41AB"/>
    <w:rsid w:val="000F42ED"/>
    <w:rsid w:val="0010083B"/>
    <w:rsid w:val="001138BB"/>
    <w:rsid w:val="00147655"/>
    <w:rsid w:val="001A6285"/>
    <w:rsid w:val="001D37E8"/>
    <w:rsid w:val="001E472F"/>
    <w:rsid w:val="00221A28"/>
    <w:rsid w:val="0022673E"/>
    <w:rsid w:val="0026218B"/>
    <w:rsid w:val="002634F4"/>
    <w:rsid w:val="002861B3"/>
    <w:rsid w:val="0028760E"/>
    <w:rsid w:val="00287B97"/>
    <w:rsid w:val="00292110"/>
    <w:rsid w:val="00294224"/>
    <w:rsid w:val="002B7558"/>
    <w:rsid w:val="002C6AD1"/>
    <w:rsid w:val="003304BD"/>
    <w:rsid w:val="0036232B"/>
    <w:rsid w:val="00362A57"/>
    <w:rsid w:val="003714F6"/>
    <w:rsid w:val="003C01E2"/>
    <w:rsid w:val="003E0945"/>
    <w:rsid w:val="003F0AAA"/>
    <w:rsid w:val="004509BF"/>
    <w:rsid w:val="00475B9D"/>
    <w:rsid w:val="00477088"/>
    <w:rsid w:val="00484899"/>
    <w:rsid w:val="004B59BF"/>
    <w:rsid w:val="004E1D5F"/>
    <w:rsid w:val="00515B05"/>
    <w:rsid w:val="00516CBE"/>
    <w:rsid w:val="00524BF9"/>
    <w:rsid w:val="00537915"/>
    <w:rsid w:val="00550810"/>
    <w:rsid w:val="0055430A"/>
    <w:rsid w:val="00587BD8"/>
    <w:rsid w:val="00591AF7"/>
    <w:rsid w:val="005E55DE"/>
    <w:rsid w:val="006348F3"/>
    <w:rsid w:val="00634AA3"/>
    <w:rsid w:val="00642AB9"/>
    <w:rsid w:val="006508F1"/>
    <w:rsid w:val="00650DBC"/>
    <w:rsid w:val="00680E58"/>
    <w:rsid w:val="006A2751"/>
    <w:rsid w:val="006A4931"/>
    <w:rsid w:val="006B2578"/>
    <w:rsid w:val="006D2AC4"/>
    <w:rsid w:val="006F50BF"/>
    <w:rsid w:val="00705283"/>
    <w:rsid w:val="00705D40"/>
    <w:rsid w:val="00726DCB"/>
    <w:rsid w:val="00727DD0"/>
    <w:rsid w:val="00741239"/>
    <w:rsid w:val="00750309"/>
    <w:rsid w:val="00757E03"/>
    <w:rsid w:val="00765778"/>
    <w:rsid w:val="00772069"/>
    <w:rsid w:val="00773774"/>
    <w:rsid w:val="007777B1"/>
    <w:rsid w:val="007B1AE0"/>
    <w:rsid w:val="007D3506"/>
    <w:rsid w:val="007D7B5A"/>
    <w:rsid w:val="00860000"/>
    <w:rsid w:val="008E40C3"/>
    <w:rsid w:val="00936415"/>
    <w:rsid w:val="00947952"/>
    <w:rsid w:val="00956AFC"/>
    <w:rsid w:val="00957176"/>
    <w:rsid w:val="00974B28"/>
    <w:rsid w:val="00986CF0"/>
    <w:rsid w:val="009B2D8F"/>
    <w:rsid w:val="009C1E7F"/>
    <w:rsid w:val="009D5BA1"/>
    <w:rsid w:val="00A116E3"/>
    <w:rsid w:val="00A40875"/>
    <w:rsid w:val="00A72B1E"/>
    <w:rsid w:val="00AD1E06"/>
    <w:rsid w:val="00B3370D"/>
    <w:rsid w:val="00B41B48"/>
    <w:rsid w:val="00B46F3F"/>
    <w:rsid w:val="00B52BC3"/>
    <w:rsid w:val="00B70EF7"/>
    <w:rsid w:val="00BB04FF"/>
    <w:rsid w:val="00BB6E2D"/>
    <w:rsid w:val="00BC2E7A"/>
    <w:rsid w:val="00BD0C88"/>
    <w:rsid w:val="00C540A2"/>
    <w:rsid w:val="00C831F9"/>
    <w:rsid w:val="00C96EB0"/>
    <w:rsid w:val="00C96F82"/>
    <w:rsid w:val="00CB01EE"/>
    <w:rsid w:val="00CC6CAC"/>
    <w:rsid w:val="00CF7D29"/>
    <w:rsid w:val="00D34BA3"/>
    <w:rsid w:val="00D4355C"/>
    <w:rsid w:val="00D4552E"/>
    <w:rsid w:val="00D45DF9"/>
    <w:rsid w:val="00DB217C"/>
    <w:rsid w:val="00DC79E9"/>
    <w:rsid w:val="00DF4A6A"/>
    <w:rsid w:val="00E07289"/>
    <w:rsid w:val="00E37079"/>
    <w:rsid w:val="00E50DC1"/>
    <w:rsid w:val="00E54E16"/>
    <w:rsid w:val="00E677DE"/>
    <w:rsid w:val="00E7435D"/>
    <w:rsid w:val="00E92DF8"/>
    <w:rsid w:val="00E94C6D"/>
    <w:rsid w:val="00ED18F8"/>
    <w:rsid w:val="00F240BF"/>
    <w:rsid w:val="00F41EAA"/>
    <w:rsid w:val="00F9714B"/>
    <w:rsid w:val="00FC3A4A"/>
    <w:rsid w:val="00FE1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AB43B"/>
  <w15:docId w15:val="{A294BB98-EA3B-4921-9CC4-45B1B81B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79E9"/>
    <w:pPr>
      <w:keepNext/>
      <w:keepLines/>
      <w:spacing w:before="240" w:after="0"/>
      <w:outlineLvl w:val="0"/>
    </w:pPr>
    <w:rPr>
      <w:rFonts w:eastAsiaTheme="majorEastAsia" w:cstheme="majorBidi"/>
      <w:color w:val="365F91" w:themeColor="accent1" w:themeShade="BF"/>
      <w:sz w:val="28"/>
      <w:szCs w:val="32"/>
    </w:rPr>
  </w:style>
  <w:style w:type="paragraph" w:styleId="Heading2">
    <w:name w:val="heading 2"/>
    <w:basedOn w:val="Normal"/>
    <w:next w:val="Normal"/>
    <w:link w:val="Heading2Char"/>
    <w:uiPriority w:val="9"/>
    <w:unhideWhenUsed/>
    <w:qFormat/>
    <w:rsid w:val="00DC79E9"/>
    <w:pPr>
      <w:keepNext/>
      <w:keepLines/>
      <w:spacing w:before="40" w:after="0"/>
      <w:outlineLvl w:val="1"/>
    </w:pPr>
    <w:rPr>
      <w:rFonts w:eastAsiaTheme="majorEastAsia" w:cstheme="majorBidi"/>
      <w:b/>
      <w:color w:val="365F91" w:themeColor="accent1" w:themeShade="BF"/>
      <w:sz w:val="24"/>
      <w:szCs w:val="26"/>
    </w:rPr>
  </w:style>
  <w:style w:type="paragraph" w:styleId="Heading3">
    <w:name w:val="heading 3"/>
    <w:basedOn w:val="Normal"/>
    <w:next w:val="Normal"/>
    <w:link w:val="Heading3Char"/>
    <w:uiPriority w:val="9"/>
    <w:unhideWhenUsed/>
    <w:qFormat/>
    <w:rsid w:val="00DC79E9"/>
    <w:pPr>
      <w:keepNext/>
      <w:keepLines/>
      <w:spacing w:before="40" w:after="0"/>
      <w:outlineLvl w:val="2"/>
    </w:pPr>
    <w:rPr>
      <w:rFonts w:eastAsiaTheme="majorEastAsia" w:cstheme="majorBidi"/>
      <w:i/>
      <w:color w:val="1F497D" w:themeColor="text2"/>
      <w:sz w:val="24"/>
      <w:szCs w:val="24"/>
    </w:rPr>
  </w:style>
  <w:style w:type="paragraph" w:styleId="Heading4">
    <w:name w:val="heading 4"/>
    <w:basedOn w:val="Normal"/>
    <w:next w:val="Normal"/>
    <w:link w:val="Heading4Char"/>
    <w:uiPriority w:val="9"/>
    <w:unhideWhenUsed/>
    <w:qFormat/>
    <w:rsid w:val="00B41B4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069"/>
  </w:style>
  <w:style w:type="paragraph" w:styleId="Footer">
    <w:name w:val="footer"/>
    <w:basedOn w:val="Normal"/>
    <w:link w:val="FooterChar"/>
    <w:uiPriority w:val="99"/>
    <w:unhideWhenUsed/>
    <w:rsid w:val="00772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069"/>
  </w:style>
  <w:style w:type="paragraph" w:styleId="ListParagraph">
    <w:name w:val="List Paragraph"/>
    <w:basedOn w:val="Normal"/>
    <w:uiPriority w:val="34"/>
    <w:qFormat/>
    <w:rsid w:val="00F9714B"/>
    <w:pPr>
      <w:ind w:left="720"/>
      <w:contextualSpacing/>
    </w:pPr>
  </w:style>
  <w:style w:type="character" w:customStyle="1" w:styleId="Heading1Char">
    <w:name w:val="Heading 1 Char"/>
    <w:basedOn w:val="DefaultParagraphFont"/>
    <w:link w:val="Heading1"/>
    <w:uiPriority w:val="9"/>
    <w:rsid w:val="00DC79E9"/>
    <w:rPr>
      <w:rFonts w:eastAsiaTheme="majorEastAsia" w:cstheme="majorBidi"/>
      <w:color w:val="365F91" w:themeColor="accent1" w:themeShade="BF"/>
      <w:sz w:val="28"/>
      <w:szCs w:val="32"/>
    </w:rPr>
  </w:style>
  <w:style w:type="character" w:styleId="Hyperlink">
    <w:name w:val="Hyperlink"/>
    <w:uiPriority w:val="99"/>
    <w:unhideWhenUsed/>
    <w:rsid w:val="00477088"/>
    <w:rPr>
      <w:color w:val="0000FF"/>
      <w:u w:val="single"/>
    </w:rPr>
  </w:style>
  <w:style w:type="paragraph" w:styleId="NormalWeb">
    <w:name w:val="Normal (Web)"/>
    <w:basedOn w:val="Normal"/>
    <w:uiPriority w:val="99"/>
    <w:unhideWhenUsed/>
    <w:rsid w:val="00477088"/>
    <w:pPr>
      <w:spacing w:before="100" w:beforeAutospacing="1" w:after="100" w:afterAutospacing="1" w:line="240" w:lineRule="auto"/>
    </w:pPr>
    <w:rPr>
      <w:rFonts w:ascii="Arial Unicode MS" w:eastAsia="Times New Roman" w:hAnsi="Times New Roman" w:cs="Arial Unicode MS"/>
      <w:color w:val="000000"/>
      <w:sz w:val="24"/>
      <w:szCs w:val="24"/>
    </w:rPr>
  </w:style>
  <w:style w:type="character" w:customStyle="1" w:styleId="Heading2Char">
    <w:name w:val="Heading 2 Char"/>
    <w:basedOn w:val="DefaultParagraphFont"/>
    <w:link w:val="Heading2"/>
    <w:uiPriority w:val="9"/>
    <w:rsid w:val="00DC79E9"/>
    <w:rPr>
      <w:rFonts w:eastAsiaTheme="majorEastAsia" w:cstheme="majorBidi"/>
      <w:b/>
      <w:color w:val="365F91" w:themeColor="accent1" w:themeShade="BF"/>
      <w:sz w:val="24"/>
      <w:szCs w:val="26"/>
    </w:rPr>
  </w:style>
  <w:style w:type="character" w:customStyle="1" w:styleId="Heading3Char">
    <w:name w:val="Heading 3 Char"/>
    <w:basedOn w:val="DefaultParagraphFont"/>
    <w:link w:val="Heading3"/>
    <w:uiPriority w:val="9"/>
    <w:rsid w:val="00DC79E9"/>
    <w:rPr>
      <w:rFonts w:eastAsiaTheme="majorEastAsia" w:cstheme="majorBidi"/>
      <w:i/>
      <w:color w:val="1F497D" w:themeColor="text2"/>
      <w:sz w:val="24"/>
      <w:szCs w:val="24"/>
    </w:rPr>
  </w:style>
  <w:style w:type="character" w:styleId="Strong">
    <w:name w:val="Strong"/>
    <w:basedOn w:val="DefaultParagraphFont"/>
    <w:uiPriority w:val="22"/>
    <w:qFormat/>
    <w:rsid w:val="006B2578"/>
    <w:rPr>
      <w:b/>
      <w:bCs/>
    </w:rPr>
  </w:style>
  <w:style w:type="character" w:styleId="Emphasis">
    <w:name w:val="Emphasis"/>
    <w:basedOn w:val="DefaultParagraphFont"/>
    <w:uiPriority w:val="20"/>
    <w:qFormat/>
    <w:rsid w:val="006B2578"/>
    <w:rPr>
      <w:i/>
      <w:iCs/>
    </w:rPr>
  </w:style>
  <w:style w:type="character" w:customStyle="1" w:styleId="UnresolvedMention1">
    <w:name w:val="Unresolved Mention1"/>
    <w:basedOn w:val="DefaultParagraphFont"/>
    <w:uiPriority w:val="99"/>
    <w:semiHidden/>
    <w:unhideWhenUsed/>
    <w:rsid w:val="006B2578"/>
    <w:rPr>
      <w:color w:val="605E5C"/>
      <w:shd w:val="clear" w:color="auto" w:fill="E1DFDD"/>
    </w:rPr>
  </w:style>
  <w:style w:type="character" w:styleId="FollowedHyperlink">
    <w:name w:val="FollowedHyperlink"/>
    <w:basedOn w:val="DefaultParagraphFont"/>
    <w:uiPriority w:val="99"/>
    <w:semiHidden/>
    <w:unhideWhenUsed/>
    <w:rsid w:val="00765778"/>
    <w:rPr>
      <w:color w:val="800080" w:themeColor="followedHyperlink"/>
      <w:u w:val="single"/>
    </w:rPr>
  </w:style>
  <w:style w:type="character" w:customStyle="1" w:styleId="sr-only">
    <w:name w:val="sr-only"/>
    <w:basedOn w:val="DefaultParagraphFont"/>
    <w:rsid w:val="00516CBE"/>
  </w:style>
  <w:style w:type="character" w:styleId="CommentReference">
    <w:name w:val="annotation reference"/>
    <w:basedOn w:val="DefaultParagraphFont"/>
    <w:uiPriority w:val="99"/>
    <w:semiHidden/>
    <w:unhideWhenUsed/>
    <w:rsid w:val="00E677DE"/>
    <w:rPr>
      <w:sz w:val="16"/>
      <w:szCs w:val="16"/>
    </w:rPr>
  </w:style>
  <w:style w:type="paragraph" w:styleId="CommentText">
    <w:name w:val="annotation text"/>
    <w:basedOn w:val="Normal"/>
    <w:link w:val="CommentTextChar"/>
    <w:uiPriority w:val="99"/>
    <w:semiHidden/>
    <w:unhideWhenUsed/>
    <w:rsid w:val="00E677DE"/>
    <w:pPr>
      <w:spacing w:line="240" w:lineRule="auto"/>
    </w:pPr>
    <w:rPr>
      <w:sz w:val="20"/>
      <w:szCs w:val="20"/>
    </w:rPr>
  </w:style>
  <w:style w:type="character" w:customStyle="1" w:styleId="CommentTextChar">
    <w:name w:val="Comment Text Char"/>
    <w:basedOn w:val="DefaultParagraphFont"/>
    <w:link w:val="CommentText"/>
    <w:uiPriority w:val="99"/>
    <w:semiHidden/>
    <w:rsid w:val="00E677DE"/>
    <w:rPr>
      <w:sz w:val="20"/>
      <w:szCs w:val="20"/>
    </w:rPr>
  </w:style>
  <w:style w:type="paragraph" w:styleId="CommentSubject">
    <w:name w:val="annotation subject"/>
    <w:basedOn w:val="CommentText"/>
    <w:next w:val="CommentText"/>
    <w:link w:val="CommentSubjectChar"/>
    <w:uiPriority w:val="99"/>
    <w:semiHidden/>
    <w:unhideWhenUsed/>
    <w:rsid w:val="00E677DE"/>
    <w:rPr>
      <w:b/>
      <w:bCs/>
    </w:rPr>
  </w:style>
  <w:style w:type="character" w:customStyle="1" w:styleId="CommentSubjectChar">
    <w:name w:val="Comment Subject Char"/>
    <w:basedOn w:val="CommentTextChar"/>
    <w:link w:val="CommentSubject"/>
    <w:uiPriority w:val="99"/>
    <w:semiHidden/>
    <w:rsid w:val="00E677DE"/>
    <w:rPr>
      <w:b/>
      <w:bCs/>
      <w:sz w:val="20"/>
      <w:szCs w:val="20"/>
    </w:rPr>
  </w:style>
  <w:style w:type="paragraph" w:styleId="BalloonText">
    <w:name w:val="Balloon Text"/>
    <w:basedOn w:val="Normal"/>
    <w:link w:val="BalloonTextChar"/>
    <w:uiPriority w:val="99"/>
    <w:semiHidden/>
    <w:unhideWhenUsed/>
    <w:rsid w:val="00E67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7DE"/>
    <w:rPr>
      <w:rFonts w:ascii="Tahoma" w:hAnsi="Tahoma" w:cs="Tahoma"/>
      <w:sz w:val="16"/>
      <w:szCs w:val="16"/>
    </w:rPr>
  </w:style>
  <w:style w:type="table" w:styleId="TableGrid">
    <w:name w:val="Table Grid"/>
    <w:basedOn w:val="TableNormal"/>
    <w:uiPriority w:val="59"/>
    <w:rsid w:val="00C54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41B48"/>
    <w:rPr>
      <w:color w:val="605E5C"/>
      <w:shd w:val="clear" w:color="auto" w:fill="E1DFDD"/>
    </w:rPr>
  </w:style>
  <w:style w:type="character" w:customStyle="1" w:styleId="Heading4Char">
    <w:name w:val="Heading 4 Char"/>
    <w:basedOn w:val="DefaultParagraphFont"/>
    <w:link w:val="Heading4"/>
    <w:uiPriority w:val="9"/>
    <w:rsid w:val="00B41B48"/>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70559">
      <w:bodyDiv w:val="1"/>
      <w:marLeft w:val="0"/>
      <w:marRight w:val="0"/>
      <w:marTop w:val="0"/>
      <w:marBottom w:val="0"/>
      <w:divBdr>
        <w:top w:val="none" w:sz="0" w:space="0" w:color="auto"/>
        <w:left w:val="none" w:sz="0" w:space="0" w:color="auto"/>
        <w:bottom w:val="none" w:sz="0" w:space="0" w:color="auto"/>
        <w:right w:val="none" w:sz="0" w:space="0" w:color="auto"/>
      </w:divBdr>
    </w:div>
    <w:div w:id="200243931">
      <w:bodyDiv w:val="1"/>
      <w:marLeft w:val="0"/>
      <w:marRight w:val="0"/>
      <w:marTop w:val="0"/>
      <w:marBottom w:val="0"/>
      <w:divBdr>
        <w:top w:val="none" w:sz="0" w:space="0" w:color="auto"/>
        <w:left w:val="none" w:sz="0" w:space="0" w:color="auto"/>
        <w:bottom w:val="none" w:sz="0" w:space="0" w:color="auto"/>
        <w:right w:val="none" w:sz="0" w:space="0" w:color="auto"/>
      </w:divBdr>
    </w:div>
    <w:div w:id="315883801">
      <w:bodyDiv w:val="1"/>
      <w:marLeft w:val="0"/>
      <w:marRight w:val="0"/>
      <w:marTop w:val="0"/>
      <w:marBottom w:val="0"/>
      <w:divBdr>
        <w:top w:val="none" w:sz="0" w:space="0" w:color="auto"/>
        <w:left w:val="none" w:sz="0" w:space="0" w:color="auto"/>
        <w:bottom w:val="none" w:sz="0" w:space="0" w:color="auto"/>
        <w:right w:val="none" w:sz="0" w:space="0" w:color="auto"/>
      </w:divBdr>
    </w:div>
    <w:div w:id="350230720">
      <w:bodyDiv w:val="1"/>
      <w:marLeft w:val="0"/>
      <w:marRight w:val="0"/>
      <w:marTop w:val="0"/>
      <w:marBottom w:val="0"/>
      <w:divBdr>
        <w:top w:val="none" w:sz="0" w:space="0" w:color="auto"/>
        <w:left w:val="none" w:sz="0" w:space="0" w:color="auto"/>
        <w:bottom w:val="none" w:sz="0" w:space="0" w:color="auto"/>
        <w:right w:val="none" w:sz="0" w:space="0" w:color="auto"/>
      </w:divBdr>
    </w:div>
    <w:div w:id="375088306">
      <w:bodyDiv w:val="1"/>
      <w:marLeft w:val="0"/>
      <w:marRight w:val="0"/>
      <w:marTop w:val="0"/>
      <w:marBottom w:val="0"/>
      <w:divBdr>
        <w:top w:val="none" w:sz="0" w:space="0" w:color="auto"/>
        <w:left w:val="none" w:sz="0" w:space="0" w:color="auto"/>
        <w:bottom w:val="none" w:sz="0" w:space="0" w:color="auto"/>
        <w:right w:val="none" w:sz="0" w:space="0" w:color="auto"/>
      </w:divBdr>
    </w:div>
    <w:div w:id="789471536">
      <w:bodyDiv w:val="1"/>
      <w:marLeft w:val="0"/>
      <w:marRight w:val="0"/>
      <w:marTop w:val="0"/>
      <w:marBottom w:val="0"/>
      <w:divBdr>
        <w:top w:val="none" w:sz="0" w:space="0" w:color="auto"/>
        <w:left w:val="none" w:sz="0" w:space="0" w:color="auto"/>
        <w:bottom w:val="none" w:sz="0" w:space="0" w:color="auto"/>
        <w:right w:val="none" w:sz="0" w:space="0" w:color="auto"/>
      </w:divBdr>
      <w:divsChild>
        <w:div w:id="1655914591">
          <w:marLeft w:val="0"/>
          <w:marRight w:val="0"/>
          <w:marTop w:val="0"/>
          <w:marBottom w:val="0"/>
          <w:divBdr>
            <w:top w:val="none" w:sz="0" w:space="0" w:color="auto"/>
            <w:left w:val="none" w:sz="0" w:space="0" w:color="auto"/>
            <w:bottom w:val="none" w:sz="0" w:space="0" w:color="auto"/>
            <w:right w:val="none" w:sz="0" w:space="0" w:color="auto"/>
          </w:divBdr>
        </w:div>
        <w:div w:id="1481968267">
          <w:marLeft w:val="0"/>
          <w:marRight w:val="0"/>
          <w:marTop w:val="0"/>
          <w:marBottom w:val="0"/>
          <w:divBdr>
            <w:top w:val="none" w:sz="0" w:space="0" w:color="auto"/>
            <w:left w:val="none" w:sz="0" w:space="0" w:color="auto"/>
            <w:bottom w:val="none" w:sz="0" w:space="0" w:color="auto"/>
            <w:right w:val="none" w:sz="0" w:space="0" w:color="auto"/>
          </w:divBdr>
        </w:div>
        <w:div w:id="2041006997">
          <w:marLeft w:val="0"/>
          <w:marRight w:val="0"/>
          <w:marTop w:val="0"/>
          <w:marBottom w:val="0"/>
          <w:divBdr>
            <w:top w:val="none" w:sz="0" w:space="0" w:color="auto"/>
            <w:left w:val="none" w:sz="0" w:space="0" w:color="auto"/>
            <w:bottom w:val="none" w:sz="0" w:space="0" w:color="auto"/>
            <w:right w:val="none" w:sz="0" w:space="0" w:color="auto"/>
          </w:divBdr>
        </w:div>
      </w:divsChild>
    </w:div>
    <w:div w:id="856970932">
      <w:bodyDiv w:val="1"/>
      <w:marLeft w:val="0"/>
      <w:marRight w:val="0"/>
      <w:marTop w:val="0"/>
      <w:marBottom w:val="0"/>
      <w:divBdr>
        <w:top w:val="none" w:sz="0" w:space="0" w:color="auto"/>
        <w:left w:val="none" w:sz="0" w:space="0" w:color="auto"/>
        <w:bottom w:val="none" w:sz="0" w:space="0" w:color="auto"/>
        <w:right w:val="none" w:sz="0" w:space="0" w:color="auto"/>
      </w:divBdr>
    </w:div>
    <w:div w:id="1042247416">
      <w:bodyDiv w:val="1"/>
      <w:marLeft w:val="0"/>
      <w:marRight w:val="0"/>
      <w:marTop w:val="0"/>
      <w:marBottom w:val="0"/>
      <w:divBdr>
        <w:top w:val="none" w:sz="0" w:space="0" w:color="auto"/>
        <w:left w:val="none" w:sz="0" w:space="0" w:color="auto"/>
        <w:bottom w:val="none" w:sz="0" w:space="0" w:color="auto"/>
        <w:right w:val="none" w:sz="0" w:space="0" w:color="auto"/>
      </w:divBdr>
    </w:div>
    <w:div w:id="1051075062">
      <w:bodyDiv w:val="1"/>
      <w:marLeft w:val="0"/>
      <w:marRight w:val="0"/>
      <w:marTop w:val="0"/>
      <w:marBottom w:val="0"/>
      <w:divBdr>
        <w:top w:val="none" w:sz="0" w:space="0" w:color="auto"/>
        <w:left w:val="none" w:sz="0" w:space="0" w:color="auto"/>
        <w:bottom w:val="none" w:sz="0" w:space="0" w:color="auto"/>
        <w:right w:val="none" w:sz="0" w:space="0" w:color="auto"/>
      </w:divBdr>
    </w:div>
    <w:div w:id="1057364909">
      <w:bodyDiv w:val="1"/>
      <w:marLeft w:val="0"/>
      <w:marRight w:val="0"/>
      <w:marTop w:val="0"/>
      <w:marBottom w:val="0"/>
      <w:divBdr>
        <w:top w:val="none" w:sz="0" w:space="0" w:color="auto"/>
        <w:left w:val="none" w:sz="0" w:space="0" w:color="auto"/>
        <w:bottom w:val="none" w:sz="0" w:space="0" w:color="auto"/>
        <w:right w:val="none" w:sz="0" w:space="0" w:color="auto"/>
      </w:divBdr>
    </w:div>
    <w:div w:id="1291281506">
      <w:bodyDiv w:val="1"/>
      <w:marLeft w:val="0"/>
      <w:marRight w:val="0"/>
      <w:marTop w:val="0"/>
      <w:marBottom w:val="0"/>
      <w:divBdr>
        <w:top w:val="none" w:sz="0" w:space="0" w:color="auto"/>
        <w:left w:val="none" w:sz="0" w:space="0" w:color="auto"/>
        <w:bottom w:val="none" w:sz="0" w:space="0" w:color="auto"/>
        <w:right w:val="none" w:sz="0" w:space="0" w:color="auto"/>
      </w:divBdr>
    </w:div>
    <w:div w:id="1469325128">
      <w:bodyDiv w:val="1"/>
      <w:marLeft w:val="0"/>
      <w:marRight w:val="0"/>
      <w:marTop w:val="0"/>
      <w:marBottom w:val="0"/>
      <w:divBdr>
        <w:top w:val="none" w:sz="0" w:space="0" w:color="auto"/>
        <w:left w:val="none" w:sz="0" w:space="0" w:color="auto"/>
        <w:bottom w:val="none" w:sz="0" w:space="0" w:color="auto"/>
        <w:right w:val="none" w:sz="0" w:space="0" w:color="auto"/>
      </w:divBdr>
    </w:div>
    <w:div w:id="1525945567">
      <w:bodyDiv w:val="1"/>
      <w:marLeft w:val="0"/>
      <w:marRight w:val="0"/>
      <w:marTop w:val="0"/>
      <w:marBottom w:val="0"/>
      <w:divBdr>
        <w:top w:val="none" w:sz="0" w:space="0" w:color="auto"/>
        <w:left w:val="none" w:sz="0" w:space="0" w:color="auto"/>
        <w:bottom w:val="none" w:sz="0" w:space="0" w:color="auto"/>
        <w:right w:val="none" w:sz="0" w:space="0" w:color="auto"/>
      </w:divBdr>
    </w:div>
    <w:div w:id="1530530777">
      <w:bodyDiv w:val="1"/>
      <w:marLeft w:val="0"/>
      <w:marRight w:val="0"/>
      <w:marTop w:val="0"/>
      <w:marBottom w:val="0"/>
      <w:divBdr>
        <w:top w:val="none" w:sz="0" w:space="0" w:color="auto"/>
        <w:left w:val="none" w:sz="0" w:space="0" w:color="auto"/>
        <w:bottom w:val="none" w:sz="0" w:space="0" w:color="auto"/>
        <w:right w:val="none" w:sz="0" w:space="0" w:color="auto"/>
      </w:divBdr>
    </w:div>
    <w:div w:id="1581908059">
      <w:bodyDiv w:val="1"/>
      <w:marLeft w:val="0"/>
      <w:marRight w:val="0"/>
      <w:marTop w:val="0"/>
      <w:marBottom w:val="0"/>
      <w:divBdr>
        <w:top w:val="none" w:sz="0" w:space="0" w:color="auto"/>
        <w:left w:val="none" w:sz="0" w:space="0" w:color="auto"/>
        <w:bottom w:val="none" w:sz="0" w:space="0" w:color="auto"/>
        <w:right w:val="none" w:sz="0" w:space="0" w:color="auto"/>
      </w:divBdr>
    </w:div>
    <w:div w:id="1610046063">
      <w:bodyDiv w:val="1"/>
      <w:marLeft w:val="0"/>
      <w:marRight w:val="0"/>
      <w:marTop w:val="0"/>
      <w:marBottom w:val="0"/>
      <w:divBdr>
        <w:top w:val="none" w:sz="0" w:space="0" w:color="auto"/>
        <w:left w:val="none" w:sz="0" w:space="0" w:color="auto"/>
        <w:bottom w:val="none" w:sz="0" w:space="0" w:color="auto"/>
        <w:right w:val="none" w:sz="0" w:space="0" w:color="auto"/>
      </w:divBdr>
    </w:div>
    <w:div w:id="1858695343">
      <w:bodyDiv w:val="1"/>
      <w:marLeft w:val="0"/>
      <w:marRight w:val="0"/>
      <w:marTop w:val="0"/>
      <w:marBottom w:val="0"/>
      <w:divBdr>
        <w:top w:val="none" w:sz="0" w:space="0" w:color="auto"/>
        <w:left w:val="none" w:sz="0" w:space="0" w:color="auto"/>
        <w:bottom w:val="none" w:sz="0" w:space="0" w:color="auto"/>
        <w:right w:val="none" w:sz="0" w:space="0" w:color="auto"/>
      </w:divBdr>
      <w:divsChild>
        <w:div w:id="409086180">
          <w:marLeft w:val="446"/>
          <w:marRight w:val="0"/>
          <w:marTop w:val="0"/>
          <w:marBottom w:val="0"/>
          <w:divBdr>
            <w:top w:val="none" w:sz="0" w:space="0" w:color="auto"/>
            <w:left w:val="none" w:sz="0" w:space="0" w:color="auto"/>
            <w:bottom w:val="none" w:sz="0" w:space="0" w:color="auto"/>
            <w:right w:val="none" w:sz="0" w:space="0" w:color="auto"/>
          </w:divBdr>
        </w:div>
        <w:div w:id="1049918401">
          <w:marLeft w:val="446"/>
          <w:marRight w:val="0"/>
          <w:marTop w:val="0"/>
          <w:marBottom w:val="0"/>
          <w:divBdr>
            <w:top w:val="none" w:sz="0" w:space="0" w:color="auto"/>
            <w:left w:val="none" w:sz="0" w:space="0" w:color="auto"/>
            <w:bottom w:val="none" w:sz="0" w:space="0" w:color="auto"/>
            <w:right w:val="none" w:sz="0" w:space="0" w:color="auto"/>
          </w:divBdr>
        </w:div>
        <w:div w:id="282425501">
          <w:marLeft w:val="446"/>
          <w:marRight w:val="0"/>
          <w:marTop w:val="0"/>
          <w:marBottom w:val="0"/>
          <w:divBdr>
            <w:top w:val="none" w:sz="0" w:space="0" w:color="auto"/>
            <w:left w:val="none" w:sz="0" w:space="0" w:color="auto"/>
            <w:bottom w:val="none" w:sz="0" w:space="0" w:color="auto"/>
            <w:right w:val="none" w:sz="0" w:space="0" w:color="auto"/>
          </w:divBdr>
        </w:div>
        <w:div w:id="1205556186">
          <w:marLeft w:val="360"/>
          <w:marRight w:val="0"/>
          <w:marTop w:val="0"/>
          <w:marBottom w:val="0"/>
          <w:divBdr>
            <w:top w:val="none" w:sz="0" w:space="0" w:color="auto"/>
            <w:left w:val="none" w:sz="0" w:space="0" w:color="auto"/>
            <w:bottom w:val="none" w:sz="0" w:space="0" w:color="auto"/>
            <w:right w:val="none" w:sz="0" w:space="0" w:color="auto"/>
          </w:divBdr>
        </w:div>
        <w:div w:id="2037806447">
          <w:marLeft w:val="360"/>
          <w:marRight w:val="0"/>
          <w:marTop w:val="0"/>
          <w:marBottom w:val="0"/>
          <w:divBdr>
            <w:top w:val="none" w:sz="0" w:space="0" w:color="auto"/>
            <w:left w:val="none" w:sz="0" w:space="0" w:color="auto"/>
            <w:bottom w:val="none" w:sz="0" w:space="0" w:color="auto"/>
            <w:right w:val="none" w:sz="0" w:space="0" w:color="auto"/>
          </w:divBdr>
        </w:div>
        <w:div w:id="99375093">
          <w:marLeft w:val="360"/>
          <w:marRight w:val="0"/>
          <w:marTop w:val="0"/>
          <w:marBottom w:val="0"/>
          <w:divBdr>
            <w:top w:val="none" w:sz="0" w:space="0" w:color="auto"/>
            <w:left w:val="none" w:sz="0" w:space="0" w:color="auto"/>
            <w:bottom w:val="none" w:sz="0" w:space="0" w:color="auto"/>
            <w:right w:val="none" w:sz="0" w:space="0" w:color="auto"/>
          </w:divBdr>
        </w:div>
      </w:divsChild>
    </w:div>
    <w:div w:id="1937471716">
      <w:bodyDiv w:val="1"/>
      <w:marLeft w:val="0"/>
      <w:marRight w:val="0"/>
      <w:marTop w:val="0"/>
      <w:marBottom w:val="0"/>
      <w:divBdr>
        <w:top w:val="none" w:sz="0" w:space="0" w:color="auto"/>
        <w:left w:val="none" w:sz="0" w:space="0" w:color="auto"/>
        <w:bottom w:val="none" w:sz="0" w:space="0" w:color="auto"/>
        <w:right w:val="none" w:sz="0" w:space="0" w:color="auto"/>
      </w:divBdr>
    </w:div>
    <w:div w:id="2043284429">
      <w:bodyDiv w:val="1"/>
      <w:marLeft w:val="0"/>
      <w:marRight w:val="0"/>
      <w:marTop w:val="0"/>
      <w:marBottom w:val="0"/>
      <w:divBdr>
        <w:top w:val="none" w:sz="0" w:space="0" w:color="auto"/>
        <w:left w:val="none" w:sz="0" w:space="0" w:color="auto"/>
        <w:bottom w:val="none" w:sz="0" w:space="0" w:color="auto"/>
        <w:right w:val="none" w:sz="0" w:space="0" w:color="auto"/>
      </w:divBdr>
    </w:div>
    <w:div w:id="214172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hcp/return-to-work.html?CDC_AA_refVal=https%3A%2F%2Fwww.cdc.gov%2Fcoronavirus%2F2019-ncov%2Fhealthcare-facilities%2Fhcp-return-work.html" TargetMode="External"/><Relationship Id="rId18" Type="http://schemas.openxmlformats.org/officeDocument/2006/relationships/hyperlink" Target="https://www.cdc.gov/coronavirus/2019-ncov/hcp/guidance-risk-assesment-hcp.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dc.gov/coronavirus/2019-ncov/hcp/guidance-risk-assesment-hcp.htm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c.gov/coronavirus/2019-ncov/hcp/guidance-risk-assesment-hcp.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c.gov/coronavirus/2019-ncov/hcp/infection-control-recommendations.html?CDC_AA_refVal=https%3A%2F%2Fwww.cdc.gov%2Fcoronavirus%2F2019-ncov%2Finfection-control%2Fcontrol-recommendations.html" TargetMode="External"/><Relationship Id="rId20" Type="http://schemas.openxmlformats.org/officeDocument/2006/relationships/hyperlink" Target="https://www.cdc.gov/coronavirus/2019-ncov/hcp/guidance-risk-assesment-hcp.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hcp/guidance-risk-assesment-hcp.html" TargetMode="External"/><Relationship Id="rId24" Type="http://schemas.openxmlformats.org/officeDocument/2006/relationships/hyperlink" Target="https://www.cdc.gov/coronavirus/2019-ncov/php/risk-assessment.html" TargetMode="External"/><Relationship Id="rId5" Type="http://schemas.openxmlformats.org/officeDocument/2006/relationships/numbering" Target="numbering.xml"/><Relationship Id="rId15" Type="http://schemas.openxmlformats.org/officeDocument/2006/relationships/hyperlink" Target="https://www.cdc.gov/coronavirus/2019-ncov/hcp/return-to-work.html?CDC_AA_refVal=https%3A%2F%2Fwww.cdc.gov%2Fcoronavirus%2F2019-ncov%2Fhealthcare-facilities%2Fhcp-return-work.html" TargetMode="External"/><Relationship Id="rId23" Type="http://schemas.openxmlformats.org/officeDocument/2006/relationships/hyperlink" Target="https://www.cdc.gov/coronavirus/2019-ncov/php/public-health-recommendations.html" TargetMode="External"/><Relationship Id="rId10" Type="http://schemas.openxmlformats.org/officeDocument/2006/relationships/endnotes" Target="endnotes.xml"/><Relationship Id="rId19" Type="http://schemas.openxmlformats.org/officeDocument/2006/relationships/hyperlink" Target="https://www.cdc.gov/coronavirus/2019-ncov/hcp/guidance-risk-assesment-hcp.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hcp/return-to-work.html?CDC_AA_refVal=https%3A%2F%2Fwww.cdc.gov%2Fcoronavirus%2F2019-ncov%2Fhealthcare-facilities%2Fhcp-return-work.html" TargetMode="External"/><Relationship Id="rId22" Type="http://schemas.openxmlformats.org/officeDocument/2006/relationships/hyperlink" Target="https://www.cdc.gov/coronavirus/2019-ncov/hcp/guidance-risk-assesment-hc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0F713B749814489BDAC3C6C1BB0D8E" ma:contentTypeVersion="13" ma:contentTypeDescription="Create a new document." ma:contentTypeScope="" ma:versionID="c6dfb8405d2da77c4305ed6ee13b31ab">
  <xsd:schema xmlns:xsd="http://www.w3.org/2001/XMLSchema" xmlns:xs="http://www.w3.org/2001/XMLSchema" xmlns:p="http://schemas.microsoft.com/office/2006/metadata/properties" xmlns:ns3="8488b576-261e-486d-b3a5-30778710dc5f" xmlns:ns4="83b54d51-d209-49a5-b56f-26803e0b971b" targetNamespace="http://schemas.microsoft.com/office/2006/metadata/properties" ma:root="true" ma:fieldsID="24621bc5eff831ee39a38f775fecb585" ns3:_="" ns4:_="">
    <xsd:import namespace="8488b576-261e-486d-b3a5-30778710dc5f"/>
    <xsd:import namespace="83b54d51-d209-49a5-b56f-26803e0b971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8b576-261e-486d-b3a5-30778710d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54d51-d209-49a5-b56f-26803e0b971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66370-0199-4474-A56A-96D08E95A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8b576-261e-486d-b3a5-30778710dc5f"/>
    <ds:schemaRef ds:uri="83b54d51-d209-49a5-b56f-26803e0b9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2DFB7C-9408-4827-BADB-BECE7014812F}">
  <ds:schemaRefs>
    <ds:schemaRef ds:uri="http://schemas.microsoft.com/sharepoint/v3/contenttype/forms"/>
  </ds:schemaRefs>
</ds:datastoreItem>
</file>

<file path=customXml/itemProps3.xml><?xml version="1.0" encoding="utf-8"?>
<ds:datastoreItem xmlns:ds="http://schemas.openxmlformats.org/officeDocument/2006/customXml" ds:itemID="{EE3F8123-1716-4883-BF09-8B2D83A778AB}">
  <ds:schemaRefs>
    <ds:schemaRef ds:uri="http://schemas.microsoft.com/office/2006/metadata/properties"/>
    <ds:schemaRef ds:uri="http://schemas.microsoft.com/office/infopath/2007/PartnerControls"/>
    <ds:schemaRef ds:uri="http://purl.org/dc/terms/"/>
    <ds:schemaRef ds:uri="8488b576-261e-486d-b3a5-30778710dc5f"/>
    <ds:schemaRef ds:uri="83b54d51-d209-49a5-b56f-26803e0b971b"/>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1B964466-D247-40F9-AC81-C9BD4CE87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3798</Words>
  <Characters>21651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Kaplan, Amy E. (EHS)</dc:creator>
  <cp:lastModifiedBy>Yannett, Elise (AGO)</cp:lastModifiedBy>
  <cp:revision>2</cp:revision>
  <cp:lastPrinted>2020-05-05T15:31:00Z</cp:lastPrinted>
  <dcterms:created xsi:type="dcterms:W3CDTF">2020-05-07T15:52:00Z</dcterms:created>
  <dcterms:modified xsi:type="dcterms:W3CDTF">2020-05-07T15:52:00Z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0x010100B10F713B749814489BDAC3C6C1BB0D8E</vt:lpwstr>
  </property>
</Properties>
</file>