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92" w:rsidRDefault="00672592" w:rsidP="00672592">
      <w:pPr>
        <w:pStyle w:val="Title"/>
      </w:pPr>
      <w:bookmarkStart w:id="0" w:name="_GoBack"/>
      <w:bookmarkEnd w:id="0"/>
      <w:r>
        <w:rPr>
          <w:color w:val="002060"/>
        </w:rPr>
        <w:t>Promotional Materials</w:t>
      </w:r>
      <w:r>
        <w:t xml:space="preserve"> | </w:t>
      </w:r>
      <w:r w:rsidR="00FF207E">
        <w:rPr>
          <w:color w:val="002060"/>
        </w:rPr>
        <w:t>Escalex</w:t>
      </w:r>
      <w:r>
        <w:rPr>
          <w:color w:val="002060"/>
        </w:rPr>
        <w:t>® Description for Your Library or University Website</w:t>
      </w:r>
    </w:p>
    <w:p w:rsidR="00672592" w:rsidRPr="00DB3A63" w:rsidRDefault="00672592" w:rsidP="00672592">
      <w:pPr>
        <w:pStyle w:val="Heading1"/>
        <w:numPr>
          <w:ilvl w:val="0"/>
          <w:numId w:val="0"/>
        </w:numPr>
        <w:rPr>
          <w:color w:val="002060"/>
        </w:rPr>
      </w:pPr>
      <w:r>
        <w:rPr>
          <w:color w:val="002060"/>
        </w:rPr>
        <w:t>Short Description</w:t>
      </w:r>
    </w:p>
    <w:p w:rsidR="00EE0498" w:rsidRDefault="00672592" w:rsidP="00672592">
      <w:pPr>
        <w:rPr>
          <w:color w:val="000000" w:themeColor="text1"/>
        </w:rPr>
      </w:pPr>
      <w:r>
        <w:rPr>
          <w:color w:val="000000" w:themeColor="text1"/>
        </w:rPr>
        <w:t>Escalex</w:t>
      </w:r>
      <w:r>
        <w:t>®</w:t>
      </w:r>
      <w:r>
        <w:rPr>
          <w:color w:val="000000" w:themeColor="text1"/>
        </w:rPr>
        <w:t xml:space="preserve"> is a multi-geography database for food regulations and compliance information</w:t>
      </w:r>
      <w:r w:rsidR="00BD06B5">
        <w:rPr>
          <w:color w:val="000000" w:themeColor="text1"/>
        </w:rPr>
        <w:t xml:space="preserve"> </w:t>
      </w:r>
      <w:r w:rsidR="00BD06B5">
        <w:t>from national and intergovernmental agencies</w:t>
      </w:r>
      <w:r>
        <w:rPr>
          <w:color w:val="000000" w:themeColor="text1"/>
        </w:rPr>
        <w:t xml:space="preserve">. </w:t>
      </w:r>
    </w:p>
    <w:p w:rsidR="00EE0498" w:rsidRDefault="00BD06B5" w:rsidP="00672592">
      <w:r>
        <w:t>With a user-friendly interface and a range of search tools, Escalex provides multiple ways to mine and digest content, whether you are looking for a full regulatory document or specific information such a legal definition or substance limit.</w:t>
      </w:r>
    </w:p>
    <w:p w:rsidR="00BD06B5" w:rsidRPr="00BD06B5" w:rsidRDefault="00BD06B5" w:rsidP="00BD06B5">
      <w:pPr>
        <w:spacing w:line="256" w:lineRule="auto"/>
        <w:rPr>
          <w:rFonts w:cs="Arial"/>
          <w:color w:val="0070C0"/>
        </w:rPr>
      </w:pPr>
      <w:r>
        <w:rPr>
          <w:rStyle w:val="A2"/>
        </w:rPr>
        <w:t>Access Escalex</w:t>
      </w:r>
      <w:r>
        <w:t>®</w:t>
      </w:r>
      <w:r>
        <w:rPr>
          <w:rStyle w:val="A2"/>
        </w:rPr>
        <w:t xml:space="preserve"> at </w:t>
      </w:r>
      <w:hyperlink r:id="rId7" w:history="1">
        <w:r w:rsidRPr="00613096">
          <w:rPr>
            <w:rStyle w:val="Hyperlink"/>
            <w:rFonts w:cs="Neo Sans Std"/>
          </w:rPr>
          <w:t>www.escalex.org</w:t>
        </w:r>
      </w:hyperlink>
      <w:r>
        <w:rPr>
          <w:rStyle w:val="A2"/>
        </w:rPr>
        <w:t xml:space="preserve"> </w:t>
      </w:r>
    </w:p>
    <w:p w:rsidR="00672592" w:rsidRDefault="00672592" w:rsidP="00672592">
      <w:pPr>
        <w:pStyle w:val="Heading1"/>
        <w:numPr>
          <w:ilvl w:val="0"/>
          <w:numId w:val="0"/>
        </w:numPr>
        <w:rPr>
          <w:color w:val="002060"/>
        </w:rPr>
      </w:pPr>
      <w:r>
        <w:rPr>
          <w:color w:val="002060"/>
        </w:rPr>
        <w:t>Long Description</w:t>
      </w:r>
    </w:p>
    <w:p w:rsidR="00EE0498" w:rsidRDefault="00EE0498" w:rsidP="00EE0498">
      <w:r>
        <w:rPr>
          <w:color w:val="000000" w:themeColor="text1"/>
        </w:rPr>
        <w:t>Escalex</w:t>
      </w:r>
      <w:r>
        <w:t>®</w:t>
      </w:r>
      <w:r>
        <w:rPr>
          <w:color w:val="000000" w:themeColor="text1"/>
        </w:rPr>
        <w:t xml:space="preserve"> is a multi-geography database for </w:t>
      </w:r>
      <w:r>
        <w:t>food law, regulations and compliance information.</w:t>
      </w:r>
    </w:p>
    <w:p w:rsidR="00EE0498" w:rsidRDefault="00EE0498" w:rsidP="00EE0498">
      <w:r>
        <w:t>With a user-friendly interface and a range of search tools, Escalex provides multiple ways to mine and digest content, whether you are looking for a full regulatory document or specific information such a legal definition or substance limit.</w:t>
      </w:r>
    </w:p>
    <w:p w:rsidR="00EE0498" w:rsidRPr="00EE0498" w:rsidRDefault="00EE0498" w:rsidP="00EE0498">
      <w:r>
        <w:lastRenderedPageBreak/>
        <w:t>Escalex brings together food regulatory information from national and intergovernmental agencies. Document types include acts, guidance documents, regulations, reports and standards.</w:t>
      </w:r>
    </w:p>
    <w:p w:rsidR="00EE0498" w:rsidRDefault="00EE0498" w:rsidP="00672592">
      <w:r>
        <w:rPr>
          <w:rStyle w:val="A2"/>
        </w:rPr>
        <w:t xml:space="preserve">Every record is indexed in-depth using a food commodity-based and regulations-enriched thesaurus enabling users to find highly granular </w:t>
      </w:r>
      <w:r w:rsidR="00BD06B5">
        <w:rPr>
          <w:rStyle w:val="A2"/>
        </w:rPr>
        <w:t>information. Training and support are available through video tutorials and a live chat facility on Escalex.</w:t>
      </w:r>
    </w:p>
    <w:p w:rsidR="00672592" w:rsidRDefault="00672592" w:rsidP="00672592">
      <w:pPr>
        <w:spacing w:line="256" w:lineRule="auto"/>
        <w:rPr>
          <w:rFonts w:cs="Arial"/>
          <w:color w:val="0070C0"/>
        </w:rPr>
      </w:pPr>
      <w:r>
        <w:rPr>
          <w:rStyle w:val="A2"/>
        </w:rPr>
        <w:t>Access Escalex</w:t>
      </w:r>
      <w:r>
        <w:t>®</w:t>
      </w:r>
      <w:r w:rsidR="00EE0498">
        <w:rPr>
          <w:rStyle w:val="A2"/>
        </w:rPr>
        <w:t xml:space="preserve"> at </w:t>
      </w:r>
      <w:hyperlink r:id="rId8" w:history="1">
        <w:r w:rsidR="00EE0498" w:rsidRPr="00613096">
          <w:rPr>
            <w:rStyle w:val="Hyperlink"/>
            <w:rFonts w:cs="Neo Sans Std"/>
          </w:rPr>
          <w:t>www.escalex.org</w:t>
        </w:r>
      </w:hyperlink>
      <w:r w:rsidR="00EE0498">
        <w:rPr>
          <w:rStyle w:val="A2"/>
        </w:rPr>
        <w:t xml:space="preserve"> </w:t>
      </w:r>
    </w:p>
    <w:p w:rsidR="00672592" w:rsidRDefault="00672592" w:rsidP="00672592">
      <w:pPr>
        <w:pStyle w:val="Heading1"/>
        <w:numPr>
          <w:ilvl w:val="0"/>
          <w:numId w:val="0"/>
        </w:numPr>
        <w:rPr>
          <w:color w:val="002060"/>
        </w:rPr>
      </w:pPr>
      <w:r w:rsidRPr="00D4418D">
        <w:rPr>
          <w:color w:val="002060"/>
        </w:rPr>
        <w:t>Database Information</w:t>
      </w:r>
    </w:p>
    <w:p w:rsidR="00672592" w:rsidRDefault="00672592" w:rsidP="00672592">
      <w:r w:rsidRPr="00D4418D">
        <w:rPr>
          <w:b/>
        </w:rPr>
        <w:t>Name:</w:t>
      </w:r>
      <w:r>
        <w:t xml:space="preserve"> Escalex® </w:t>
      </w:r>
    </w:p>
    <w:p w:rsidR="00672592" w:rsidRDefault="00672592" w:rsidP="00672592">
      <w:r w:rsidRPr="00D4418D">
        <w:rPr>
          <w:b/>
        </w:rPr>
        <w:t>Publisher:</w:t>
      </w:r>
      <w:r>
        <w:t xml:space="preserve"> IFIS</w:t>
      </w:r>
      <w:r w:rsidR="00BD06B5">
        <w:t xml:space="preserve"> and Molecular Connections</w:t>
      </w:r>
    </w:p>
    <w:p w:rsidR="00672592" w:rsidRDefault="00672592" w:rsidP="00672592">
      <w:r w:rsidRPr="00D4418D">
        <w:rPr>
          <w:b/>
        </w:rPr>
        <w:t>Location:</w:t>
      </w:r>
      <w:r>
        <w:t xml:space="preserve"> The Granary, Bridge Farm, Reading Road, </w:t>
      </w:r>
      <w:proofErr w:type="spellStart"/>
      <w:r>
        <w:t>Arbo</w:t>
      </w:r>
      <w:r w:rsidR="00BD06B5">
        <w:t>rfield</w:t>
      </w:r>
      <w:proofErr w:type="spellEnd"/>
      <w:r w:rsidR="00BD06B5">
        <w:t>, Reading, Berkshire, UK,</w:t>
      </w:r>
      <w:r>
        <w:t xml:space="preserve"> RG2 9HT</w:t>
      </w:r>
    </w:p>
    <w:p w:rsidR="00E82687" w:rsidRDefault="00672592">
      <w:r w:rsidRPr="00D4418D">
        <w:rPr>
          <w:b/>
        </w:rPr>
        <w:t>URL:</w:t>
      </w:r>
      <w:r>
        <w:t xml:space="preserve"> </w:t>
      </w:r>
      <w:hyperlink r:id="rId9" w:history="1">
        <w:r w:rsidR="00BD06B5" w:rsidRPr="00613096">
          <w:rPr>
            <w:rStyle w:val="Hyperlink"/>
          </w:rPr>
          <w:t>https://www.escalex.org</w:t>
        </w:r>
      </w:hyperlink>
      <w:r w:rsidR="00BD06B5">
        <w:t xml:space="preserve"> </w:t>
      </w:r>
    </w:p>
    <w:sectPr w:rsidR="00E82687" w:rsidSect="00DB3A63">
      <w:head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92" w:rsidRDefault="00BD06B5">
      <w:pPr>
        <w:spacing w:after="0" w:line="240" w:lineRule="auto"/>
      </w:pPr>
      <w:r>
        <w:separator/>
      </w:r>
    </w:p>
  </w:endnote>
  <w:endnote w:type="continuationSeparator" w:id="0">
    <w:p w:rsidR="002F7D92" w:rsidRDefault="00BD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o Sans Std">
    <w:altName w:val="Neo Sans Std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92" w:rsidRDefault="00BD06B5">
      <w:pPr>
        <w:spacing w:after="0" w:line="240" w:lineRule="auto"/>
      </w:pPr>
      <w:r>
        <w:separator/>
      </w:r>
    </w:p>
  </w:footnote>
  <w:footnote w:type="continuationSeparator" w:id="0">
    <w:p w:rsidR="002F7D92" w:rsidRDefault="00BD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63" w:rsidRDefault="00FF207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CBD086" wp14:editId="570B99F1">
          <wp:simplePos x="0" y="0"/>
          <wp:positionH relativeFrom="margin">
            <wp:posOffset>6326372</wp:posOffset>
          </wp:positionH>
          <wp:positionV relativeFrom="paragraph">
            <wp:posOffset>-244548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2" name="Picture 2" descr="https://pbs.twimg.com/profile_images/378800000562033960/d09ed54757fc8e166b285904b736f766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378800000562033960/d09ed54757fc8e166b285904b736f766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A63" w:rsidRDefault="00095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6144E8"/>
    <w:multiLevelType w:val="multilevel"/>
    <w:tmpl w:val="7522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76EBF"/>
    <w:multiLevelType w:val="hybridMultilevel"/>
    <w:tmpl w:val="06C4E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92"/>
    <w:rsid w:val="00095C98"/>
    <w:rsid w:val="000F1438"/>
    <w:rsid w:val="00150B04"/>
    <w:rsid w:val="001A75CB"/>
    <w:rsid w:val="00227C12"/>
    <w:rsid w:val="00257453"/>
    <w:rsid w:val="002A1E1A"/>
    <w:rsid w:val="002D0BA7"/>
    <w:rsid w:val="002D0E0D"/>
    <w:rsid w:val="002F7D92"/>
    <w:rsid w:val="0030785F"/>
    <w:rsid w:val="00344931"/>
    <w:rsid w:val="00345913"/>
    <w:rsid w:val="003463D8"/>
    <w:rsid w:val="00371AFC"/>
    <w:rsid w:val="003925F3"/>
    <w:rsid w:val="003C305F"/>
    <w:rsid w:val="00424579"/>
    <w:rsid w:val="00496F39"/>
    <w:rsid w:val="005D1B7B"/>
    <w:rsid w:val="00600ACE"/>
    <w:rsid w:val="00646D89"/>
    <w:rsid w:val="00672592"/>
    <w:rsid w:val="00673056"/>
    <w:rsid w:val="006C2C70"/>
    <w:rsid w:val="00742D12"/>
    <w:rsid w:val="007829C6"/>
    <w:rsid w:val="007D485E"/>
    <w:rsid w:val="008555A2"/>
    <w:rsid w:val="00951455"/>
    <w:rsid w:val="00977664"/>
    <w:rsid w:val="00986E14"/>
    <w:rsid w:val="009E6361"/>
    <w:rsid w:val="00A27841"/>
    <w:rsid w:val="00BB721E"/>
    <w:rsid w:val="00BD06B5"/>
    <w:rsid w:val="00C87672"/>
    <w:rsid w:val="00D223A9"/>
    <w:rsid w:val="00D85380"/>
    <w:rsid w:val="00DB5D6F"/>
    <w:rsid w:val="00DD3A1F"/>
    <w:rsid w:val="00DF0339"/>
    <w:rsid w:val="00DF765E"/>
    <w:rsid w:val="00E80D0E"/>
    <w:rsid w:val="00E82300"/>
    <w:rsid w:val="00E82687"/>
    <w:rsid w:val="00EB2011"/>
    <w:rsid w:val="00ED3F6F"/>
    <w:rsid w:val="00EE0498"/>
    <w:rsid w:val="00EE5549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3907-B80E-4B5A-9EEB-47F9774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9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59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59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59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5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5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5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5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5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5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9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59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592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592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592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592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592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5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5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72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592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7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9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72592"/>
    <w:rPr>
      <w:color w:val="0563C1" w:themeColor="hyperlink"/>
      <w:u w:val="single"/>
    </w:rPr>
  </w:style>
  <w:style w:type="character" w:customStyle="1" w:styleId="A2">
    <w:name w:val="A2"/>
    <w:uiPriority w:val="99"/>
    <w:rsid w:val="00672592"/>
    <w:rPr>
      <w:rFonts w:cs="Neo Sans Std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72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ale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alex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scale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Rossiter</dc:creator>
  <cp:keywords/>
  <dc:description/>
  <cp:lastModifiedBy>Rhianna Jones</cp:lastModifiedBy>
  <cp:revision>2</cp:revision>
  <dcterms:created xsi:type="dcterms:W3CDTF">2017-12-01T13:40:00Z</dcterms:created>
  <dcterms:modified xsi:type="dcterms:W3CDTF">2017-12-01T13:40:00Z</dcterms:modified>
  <cp:contentStatus/>
</cp:coreProperties>
</file>